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5583" w:rsidRDefault="00B73FD3" w:rsidP="00A35583">
      <w:pPr>
        <w:jc w:val="center"/>
        <w:rPr>
          <w:b/>
          <w:sz w:val="28"/>
          <w:szCs w:val="28"/>
        </w:rPr>
      </w:pPr>
      <w:r>
        <w:rPr>
          <w:b/>
          <w:sz w:val="28"/>
          <w:szCs w:val="28"/>
          <w:lang w:val="ky-KG"/>
        </w:rPr>
        <w:t xml:space="preserve">  </w:t>
      </w:r>
      <w:r w:rsidR="00A35583">
        <w:rPr>
          <w:b/>
          <w:sz w:val="28"/>
          <w:szCs w:val="28"/>
          <w:lang w:val="en-US"/>
        </w:rPr>
        <w:t xml:space="preserve">                                                                                                                             </w:t>
      </w:r>
      <w:bookmarkStart w:id="0" w:name="_GoBack"/>
      <w:bookmarkEnd w:id="0"/>
      <w:r w:rsidR="00A35583">
        <w:rPr>
          <w:b/>
          <w:sz w:val="28"/>
          <w:szCs w:val="28"/>
        </w:rPr>
        <w:t>Приложение № 1</w:t>
      </w:r>
      <w:r w:rsidR="00A35583">
        <w:rPr>
          <w:b/>
          <w:sz w:val="28"/>
          <w:szCs w:val="28"/>
          <w:lang w:val="en-US"/>
        </w:rPr>
        <w:t>4</w:t>
      </w:r>
      <w:r w:rsidR="00A35583">
        <w:rPr>
          <w:b/>
          <w:sz w:val="28"/>
          <w:szCs w:val="28"/>
        </w:rPr>
        <w:t xml:space="preserve"> </w:t>
      </w:r>
    </w:p>
    <w:p w:rsidR="00A35583" w:rsidRDefault="00A35583" w:rsidP="00A35583">
      <w:pPr>
        <w:jc w:val="center"/>
        <w:rPr>
          <w:b/>
          <w:sz w:val="28"/>
          <w:szCs w:val="28"/>
        </w:rPr>
      </w:pPr>
      <w:r>
        <w:rPr>
          <w:b/>
          <w:sz w:val="28"/>
          <w:szCs w:val="28"/>
        </w:rPr>
        <w:t xml:space="preserve">                                                                                                                                                       к протоколу РГ РОА № 13-2021</w:t>
      </w:r>
      <w:r w:rsidRPr="00175D3E">
        <w:rPr>
          <w:b/>
          <w:sz w:val="28"/>
          <w:szCs w:val="28"/>
        </w:rPr>
        <w:t xml:space="preserve">  </w:t>
      </w:r>
    </w:p>
    <w:p w:rsidR="00A35583" w:rsidRPr="00A35583" w:rsidRDefault="00A35583" w:rsidP="00D519C0">
      <w:pPr>
        <w:jc w:val="center"/>
        <w:rPr>
          <w:b/>
          <w:sz w:val="28"/>
          <w:szCs w:val="28"/>
        </w:rPr>
      </w:pPr>
    </w:p>
    <w:p w:rsidR="00A35583" w:rsidRDefault="00A35583" w:rsidP="00D519C0">
      <w:pPr>
        <w:jc w:val="center"/>
        <w:rPr>
          <w:b/>
          <w:sz w:val="28"/>
          <w:szCs w:val="28"/>
          <w:lang w:val="ky-KG"/>
        </w:rPr>
      </w:pPr>
    </w:p>
    <w:p w:rsidR="00D519C0" w:rsidRPr="004C01DE" w:rsidRDefault="004C01DE" w:rsidP="00D519C0">
      <w:pPr>
        <w:jc w:val="center"/>
        <w:rPr>
          <w:b/>
          <w:sz w:val="28"/>
          <w:szCs w:val="28"/>
          <w:lang w:val="ky-KG"/>
        </w:rPr>
      </w:pPr>
      <w:r>
        <w:rPr>
          <w:b/>
          <w:sz w:val="28"/>
          <w:szCs w:val="28"/>
          <w:lang w:val="ky-KG"/>
        </w:rPr>
        <w:t xml:space="preserve">Сравнительная таблица </w:t>
      </w:r>
    </w:p>
    <w:p w:rsidR="00D519C0" w:rsidRPr="00ED77A4" w:rsidRDefault="006E6762" w:rsidP="002D5459">
      <w:pPr>
        <w:pStyle w:val="5"/>
        <w:ind w:firstLine="709"/>
        <w:rPr>
          <w:sz w:val="28"/>
          <w:szCs w:val="28"/>
        </w:rPr>
      </w:pPr>
      <w:r w:rsidRPr="00ED77A4">
        <w:rPr>
          <w:rFonts w:ascii="Times New Roman" w:hAnsi="Times New Roman"/>
          <w:sz w:val="28"/>
          <w:szCs w:val="28"/>
        </w:rPr>
        <w:t xml:space="preserve">По </w:t>
      </w:r>
      <w:r w:rsidR="0008715A">
        <w:rPr>
          <w:rFonts w:ascii="Times New Roman" w:hAnsi="Times New Roman"/>
          <w:sz w:val="28"/>
          <w:szCs w:val="28"/>
        </w:rPr>
        <w:t>1</w:t>
      </w:r>
      <w:r w:rsidR="00F91ED1">
        <w:rPr>
          <w:rFonts w:ascii="Times New Roman" w:hAnsi="Times New Roman"/>
          <w:sz w:val="28"/>
          <w:szCs w:val="28"/>
          <w:lang w:val="ky-KG"/>
        </w:rPr>
        <w:t>2</w:t>
      </w:r>
      <w:r w:rsidR="0008715A">
        <w:rPr>
          <w:rFonts w:ascii="Times New Roman" w:hAnsi="Times New Roman"/>
          <w:sz w:val="28"/>
          <w:szCs w:val="28"/>
        </w:rPr>
        <w:t xml:space="preserve">-й ред. </w:t>
      </w:r>
      <w:r w:rsidR="0008715A" w:rsidRPr="00ED77A4">
        <w:rPr>
          <w:rFonts w:ascii="Times New Roman" w:hAnsi="Times New Roman"/>
          <w:sz w:val="28"/>
          <w:szCs w:val="28"/>
        </w:rPr>
        <w:t>П</w:t>
      </w:r>
      <w:r w:rsidR="00D519C0" w:rsidRPr="00ED77A4">
        <w:rPr>
          <w:rFonts w:ascii="Times New Roman" w:hAnsi="Times New Roman"/>
          <w:sz w:val="28"/>
          <w:szCs w:val="28"/>
        </w:rPr>
        <w:t>роцедур</w:t>
      </w:r>
      <w:r w:rsidR="0008715A">
        <w:rPr>
          <w:rFonts w:ascii="Times New Roman" w:hAnsi="Times New Roman"/>
          <w:sz w:val="28"/>
          <w:szCs w:val="28"/>
        </w:rPr>
        <w:t xml:space="preserve">ы </w:t>
      </w:r>
      <w:r w:rsidR="002D5459" w:rsidRPr="00DE7721">
        <w:rPr>
          <w:rFonts w:ascii="Times New Roman" w:hAnsi="Times New Roman"/>
          <w:color w:val="333333"/>
          <w:sz w:val="28"/>
          <w:szCs w:val="28"/>
        </w:rPr>
        <w:t xml:space="preserve">«Процедура рассмотрения жалоб и апелляций Евразийского сотрудничества по аккредитации». </w:t>
      </w:r>
      <w:r w:rsidR="00D519C0" w:rsidRPr="00ED77A4">
        <w:rPr>
          <w:rFonts w:ascii="Times New Roman" w:hAnsi="Times New Roman"/>
          <w:sz w:val="28"/>
          <w:szCs w:val="28"/>
        </w:rPr>
        <w:t>(</w:t>
      </w:r>
      <w:r w:rsidR="00F91ED1">
        <w:rPr>
          <w:rFonts w:ascii="Times New Roman" w:hAnsi="Times New Roman"/>
          <w:sz w:val="28"/>
          <w:szCs w:val="28"/>
          <w:lang w:val="ky-KG"/>
        </w:rPr>
        <w:t>24</w:t>
      </w:r>
      <w:r w:rsidR="00D519C0" w:rsidRPr="00ED77A4">
        <w:rPr>
          <w:rFonts w:ascii="Times New Roman" w:hAnsi="Times New Roman"/>
          <w:sz w:val="28"/>
          <w:szCs w:val="28"/>
        </w:rPr>
        <w:t>.</w:t>
      </w:r>
      <w:r w:rsidR="00F91ED1">
        <w:rPr>
          <w:rFonts w:ascii="Times New Roman" w:hAnsi="Times New Roman"/>
          <w:sz w:val="28"/>
          <w:szCs w:val="28"/>
          <w:lang w:val="ky-KG"/>
        </w:rPr>
        <w:t>02</w:t>
      </w:r>
      <w:r w:rsidR="0058015A" w:rsidRPr="00ED77A4">
        <w:rPr>
          <w:rFonts w:ascii="Times New Roman" w:hAnsi="Times New Roman"/>
          <w:sz w:val="28"/>
          <w:szCs w:val="28"/>
        </w:rPr>
        <w:t>.202</w:t>
      </w:r>
      <w:r w:rsidR="00F91ED1">
        <w:rPr>
          <w:rFonts w:ascii="Times New Roman" w:hAnsi="Times New Roman"/>
          <w:sz w:val="28"/>
          <w:szCs w:val="28"/>
          <w:lang w:val="ky-KG"/>
        </w:rPr>
        <w:t>1</w:t>
      </w:r>
      <w:r w:rsidR="0058015A" w:rsidRPr="00ED77A4">
        <w:rPr>
          <w:rFonts w:ascii="Times New Roman" w:hAnsi="Times New Roman"/>
          <w:sz w:val="28"/>
          <w:szCs w:val="28"/>
        </w:rPr>
        <w:t>г</w:t>
      </w:r>
      <w:r w:rsidR="00D519C0" w:rsidRPr="00ED77A4">
        <w:rPr>
          <w:rFonts w:ascii="Times New Roman" w:hAnsi="Times New Roman"/>
          <w:sz w:val="28"/>
          <w:szCs w:val="28"/>
        </w:rPr>
        <w:t>.)</w:t>
      </w:r>
    </w:p>
    <w:tbl>
      <w:tblPr>
        <w:tblStyle w:val="a3"/>
        <w:tblW w:w="15276" w:type="dxa"/>
        <w:tblLook w:val="04A0" w:firstRow="1" w:lastRow="0" w:firstColumn="1" w:lastColumn="0" w:noHBand="0" w:noVBand="1"/>
      </w:tblPr>
      <w:tblGrid>
        <w:gridCol w:w="1878"/>
        <w:gridCol w:w="3357"/>
        <w:gridCol w:w="4407"/>
        <w:gridCol w:w="5634"/>
      </w:tblGrid>
      <w:tr w:rsidR="003918BD" w:rsidTr="00513A0A">
        <w:tc>
          <w:tcPr>
            <w:tcW w:w="1878" w:type="dxa"/>
          </w:tcPr>
          <w:p w:rsidR="00D519C0" w:rsidRPr="00A07BE1" w:rsidRDefault="00D519C0" w:rsidP="00D519C0">
            <w:pPr>
              <w:jc w:val="center"/>
              <w:rPr>
                <w:b/>
              </w:rPr>
            </w:pPr>
            <w:r w:rsidRPr="00A07BE1">
              <w:rPr>
                <w:b/>
              </w:rPr>
              <w:t>Сокращенное наименование национального органа</w:t>
            </w:r>
          </w:p>
        </w:tc>
        <w:tc>
          <w:tcPr>
            <w:tcW w:w="3357" w:type="dxa"/>
          </w:tcPr>
          <w:p w:rsidR="00D519C0" w:rsidRPr="00CF775B" w:rsidRDefault="00D519C0" w:rsidP="00D519C0">
            <w:pPr>
              <w:jc w:val="center"/>
              <w:rPr>
                <w:b/>
                <w:lang w:val="ky-KG"/>
              </w:rPr>
            </w:pPr>
            <w:r w:rsidRPr="00A07BE1">
              <w:rPr>
                <w:b/>
              </w:rPr>
              <w:t xml:space="preserve">Структурный элемент </w:t>
            </w:r>
            <w:r w:rsidR="00CF775B">
              <w:rPr>
                <w:b/>
                <w:lang w:val="ky-KG"/>
              </w:rPr>
              <w:t>документа</w:t>
            </w:r>
          </w:p>
          <w:p w:rsidR="00D519C0" w:rsidRPr="00A07BE1" w:rsidRDefault="00D519C0" w:rsidP="00D519C0">
            <w:pPr>
              <w:jc w:val="center"/>
              <w:rPr>
                <w:b/>
              </w:rPr>
            </w:pPr>
          </w:p>
        </w:tc>
        <w:tc>
          <w:tcPr>
            <w:tcW w:w="4407" w:type="dxa"/>
          </w:tcPr>
          <w:p w:rsidR="00D519C0" w:rsidRPr="00A07BE1" w:rsidRDefault="00D519C0" w:rsidP="00D519C0">
            <w:pPr>
              <w:jc w:val="center"/>
              <w:rPr>
                <w:b/>
              </w:rPr>
            </w:pPr>
            <w:r w:rsidRPr="00A07BE1">
              <w:rPr>
                <w:b/>
              </w:rPr>
              <w:t xml:space="preserve">Предложение, </w:t>
            </w:r>
          </w:p>
          <w:p w:rsidR="00D519C0" w:rsidRPr="00A07BE1" w:rsidRDefault="00D519C0" w:rsidP="00D519C0">
            <w:pPr>
              <w:jc w:val="center"/>
              <w:rPr>
                <w:b/>
              </w:rPr>
            </w:pPr>
            <w:r w:rsidRPr="00A07BE1">
              <w:rPr>
                <w:b/>
              </w:rPr>
              <w:t xml:space="preserve">замечание </w:t>
            </w:r>
          </w:p>
        </w:tc>
        <w:tc>
          <w:tcPr>
            <w:tcW w:w="5634" w:type="dxa"/>
          </w:tcPr>
          <w:p w:rsidR="00D519C0" w:rsidRPr="00A07BE1" w:rsidRDefault="00D519C0" w:rsidP="00D519C0">
            <w:pPr>
              <w:jc w:val="center"/>
              <w:rPr>
                <w:b/>
              </w:rPr>
            </w:pPr>
            <w:r w:rsidRPr="00A07BE1">
              <w:rPr>
                <w:b/>
              </w:rPr>
              <w:t xml:space="preserve">Заключение разработчика </w:t>
            </w:r>
          </w:p>
        </w:tc>
      </w:tr>
      <w:tr w:rsidR="00EB134D" w:rsidRPr="002231B3" w:rsidTr="00FC6FF9">
        <w:tc>
          <w:tcPr>
            <w:tcW w:w="15276" w:type="dxa"/>
            <w:gridSpan w:val="4"/>
          </w:tcPr>
          <w:p w:rsidR="00EB134D" w:rsidRDefault="00EB134D" w:rsidP="00FE48E8">
            <w:pPr>
              <w:jc w:val="center"/>
            </w:pPr>
            <w:r>
              <w:t>По 1</w:t>
            </w:r>
            <w:r w:rsidR="00F91ED1">
              <w:rPr>
                <w:lang w:val="ky-KG"/>
              </w:rPr>
              <w:t>2</w:t>
            </w:r>
            <w:r>
              <w:t>-й редакции</w:t>
            </w:r>
          </w:p>
        </w:tc>
      </w:tr>
      <w:tr w:rsidR="002D5459" w:rsidRPr="002231B3" w:rsidTr="00FC6FF9">
        <w:tc>
          <w:tcPr>
            <w:tcW w:w="15276" w:type="dxa"/>
            <w:gridSpan w:val="4"/>
          </w:tcPr>
          <w:p w:rsidR="002D5459" w:rsidRDefault="002D5459" w:rsidP="00FE48E8">
            <w:pPr>
              <w:jc w:val="center"/>
            </w:pPr>
            <w:r>
              <w:rPr>
                <w:b/>
              </w:rPr>
              <w:t xml:space="preserve">Письмо МГС от </w:t>
            </w:r>
            <w:r w:rsidR="00AF2E43">
              <w:rPr>
                <w:b/>
                <w:lang w:val="ky-KG"/>
              </w:rPr>
              <w:t>БГЦА</w:t>
            </w:r>
            <w:r>
              <w:rPr>
                <w:b/>
              </w:rPr>
              <w:t xml:space="preserve"> (</w:t>
            </w:r>
            <w:r w:rsidR="00AF2E43">
              <w:rPr>
                <w:b/>
                <w:lang w:val="ky-KG"/>
              </w:rPr>
              <w:t xml:space="preserve"> исх.№ 2/79 от 22.02.2021г., </w:t>
            </w:r>
            <w:r>
              <w:rPr>
                <w:b/>
              </w:rPr>
              <w:t>вх.№ от</w:t>
            </w:r>
            <w:r w:rsidR="00AF2E43">
              <w:rPr>
                <w:b/>
                <w:lang w:val="ky-KG"/>
              </w:rPr>
              <w:t>24</w:t>
            </w:r>
            <w:r>
              <w:rPr>
                <w:b/>
              </w:rPr>
              <w:t>.</w:t>
            </w:r>
            <w:r w:rsidR="00AF2E43">
              <w:rPr>
                <w:b/>
                <w:lang w:val="ky-KG"/>
              </w:rPr>
              <w:t>02</w:t>
            </w:r>
            <w:r>
              <w:rPr>
                <w:b/>
              </w:rPr>
              <w:t>.202</w:t>
            </w:r>
            <w:r w:rsidR="00AF2E43">
              <w:rPr>
                <w:b/>
                <w:lang w:val="ky-KG"/>
              </w:rPr>
              <w:t>1</w:t>
            </w:r>
            <w:r>
              <w:rPr>
                <w:b/>
              </w:rPr>
              <w:t>г.)</w:t>
            </w:r>
            <w:r w:rsidR="00925C49">
              <w:rPr>
                <w:b/>
              </w:rPr>
              <w:t xml:space="preserve"> В.А. Шарамков – Зам.директора  </w:t>
            </w:r>
          </w:p>
        </w:tc>
      </w:tr>
      <w:tr w:rsidR="00FC6FF9" w:rsidRPr="002231B3" w:rsidTr="00513A0A">
        <w:tc>
          <w:tcPr>
            <w:tcW w:w="1878" w:type="dxa"/>
          </w:tcPr>
          <w:p w:rsidR="00FC6FF9" w:rsidRPr="002231B3" w:rsidRDefault="00FC6FF9" w:rsidP="00FE48E8">
            <w:pPr>
              <w:jc w:val="center"/>
            </w:pPr>
          </w:p>
        </w:tc>
        <w:tc>
          <w:tcPr>
            <w:tcW w:w="3357" w:type="dxa"/>
          </w:tcPr>
          <w:p w:rsidR="00FC6FF9" w:rsidRPr="002231B3" w:rsidRDefault="00FC6FF9" w:rsidP="0008715A">
            <w:pPr>
              <w:shd w:val="clear" w:color="auto" w:fill="FFFFFF"/>
              <w:spacing w:before="100" w:beforeAutospacing="1" w:after="100" w:afterAutospacing="1"/>
            </w:pPr>
            <w:r w:rsidRPr="00DE7721">
              <w:rPr>
                <w:color w:val="333333"/>
              </w:rPr>
              <w:t> </w:t>
            </w:r>
          </w:p>
        </w:tc>
        <w:tc>
          <w:tcPr>
            <w:tcW w:w="4407" w:type="dxa"/>
          </w:tcPr>
          <w:p w:rsidR="00FC6FF9" w:rsidRDefault="00FC6FF9" w:rsidP="00CF5799">
            <w:pPr>
              <w:shd w:val="clear" w:color="auto" w:fill="FFFFFF"/>
              <w:rPr>
                <w:color w:val="333333"/>
                <w:lang w:val="ky-KG"/>
              </w:rPr>
            </w:pPr>
            <w:r w:rsidRPr="00DE7721">
              <w:rPr>
                <w:color w:val="333333"/>
              </w:rPr>
              <w:t xml:space="preserve"> п. </w:t>
            </w:r>
            <w:r>
              <w:rPr>
                <w:color w:val="333333"/>
                <w:lang w:val="ky-KG"/>
              </w:rPr>
              <w:t>3</w:t>
            </w:r>
            <w:r w:rsidRPr="00DE7721">
              <w:rPr>
                <w:color w:val="333333"/>
              </w:rPr>
              <w:t xml:space="preserve">.1 </w:t>
            </w:r>
            <w:r>
              <w:rPr>
                <w:color w:val="333333"/>
                <w:lang w:val="ky-KG"/>
              </w:rPr>
              <w:t>дополнить:</w:t>
            </w:r>
          </w:p>
          <w:p w:rsidR="00FC6FF9" w:rsidRPr="00D04722" w:rsidRDefault="00FC6FF9" w:rsidP="00CF5799">
            <w:pPr>
              <w:shd w:val="clear" w:color="auto" w:fill="FFFFFF"/>
              <w:rPr>
                <w:lang w:val="ky-KG"/>
              </w:rPr>
            </w:pPr>
            <w:r>
              <w:rPr>
                <w:color w:val="333333"/>
                <w:lang w:val="ky-KG"/>
              </w:rPr>
              <w:t xml:space="preserve">“Жалобы , направляемые в ЕААС , должны ограничиваться вопросами, касающимися ЕААС, участников ЕААСи/или их аккредитованных ими органов по оценке соответствия, включая процесс аккредитации, в отношении соответствия требованиям документов ЕААС. Документов членов ЕААС, соответствующих стандартов, принимая во внимание требования, представленные в соответствующих документах </w:t>
            </w:r>
            <w:r>
              <w:rPr>
                <w:color w:val="333333"/>
                <w:lang w:val="en-US"/>
              </w:rPr>
              <w:t>ILAC</w:t>
            </w:r>
            <w:r w:rsidRPr="00CF5799">
              <w:rPr>
                <w:color w:val="333333"/>
              </w:rPr>
              <w:t xml:space="preserve">, </w:t>
            </w:r>
            <w:r>
              <w:rPr>
                <w:color w:val="333333"/>
                <w:lang w:val="en-US"/>
              </w:rPr>
              <w:t>IAF</w:t>
            </w:r>
            <w:r w:rsidRPr="00CF5799">
              <w:rPr>
                <w:color w:val="333333"/>
              </w:rPr>
              <w:t xml:space="preserve"> </w:t>
            </w:r>
            <w:r>
              <w:rPr>
                <w:color w:val="333333"/>
              </w:rPr>
              <w:t>и/или др.</w:t>
            </w:r>
            <w:r>
              <w:rPr>
                <w:color w:val="333333"/>
                <w:lang w:val="ky-KG"/>
              </w:rPr>
              <w:t xml:space="preserve">” </w:t>
            </w:r>
          </w:p>
        </w:tc>
        <w:tc>
          <w:tcPr>
            <w:tcW w:w="5634" w:type="dxa"/>
            <w:vMerge w:val="restart"/>
          </w:tcPr>
          <w:p w:rsidR="00FC6FF9" w:rsidRDefault="00FC6FF9" w:rsidP="00FE48E8">
            <w:pPr>
              <w:jc w:val="center"/>
              <w:rPr>
                <w:lang w:val="ky-KG"/>
              </w:rPr>
            </w:pPr>
            <w:r>
              <w:rPr>
                <w:lang w:val="ky-KG"/>
              </w:rPr>
              <w:t>Принято, изложено в редакции :</w:t>
            </w:r>
          </w:p>
          <w:p w:rsidR="00FC6FF9" w:rsidRPr="00FC6FF9" w:rsidRDefault="00FC6FF9" w:rsidP="00744887">
            <w:pPr>
              <w:spacing w:line="360" w:lineRule="auto"/>
              <w:ind w:firstLine="709"/>
              <w:rPr>
                <w:color w:val="0070C0"/>
                <w:lang w:val="ky-KG"/>
              </w:rPr>
            </w:pPr>
            <w:r w:rsidRPr="00FC6FF9">
              <w:rPr>
                <w:color w:val="0070C0"/>
                <w:lang w:val="ky-KG"/>
              </w:rPr>
              <w:t xml:space="preserve">3.1 Политикой ЕААС по рассмотрению жалоб/апелляций является стремление к незамедлительному рассмотрению поступивших жалоб/апелляций с максимальной объективностью и эффективностью.  </w:t>
            </w:r>
          </w:p>
          <w:p w:rsidR="00FC6FF9" w:rsidRPr="000D30C2" w:rsidRDefault="00FC6FF9" w:rsidP="00A75A23">
            <w:pPr>
              <w:spacing w:line="360" w:lineRule="auto"/>
              <w:ind w:firstLine="709"/>
              <w:rPr>
                <w:color w:val="0070C0"/>
              </w:rPr>
            </w:pPr>
            <w:r>
              <w:t xml:space="preserve">3.2 </w:t>
            </w:r>
            <w:r w:rsidRPr="00A81CCD">
              <w:t xml:space="preserve"> Жалобы/апелляции подаются в Секретариат ЕААС (далее - Секретариат), который подтверждает в письменном (либо в электронном виде) виде получение жалобы/апелляции подателю таковой</w:t>
            </w:r>
            <w:r>
              <w:rPr>
                <w:lang w:val="ky-KG"/>
              </w:rPr>
              <w:t xml:space="preserve">. </w:t>
            </w:r>
            <w:r w:rsidRPr="000D30C2">
              <w:rPr>
                <w:color w:val="0070C0"/>
                <w:lang w:val="ky-KG"/>
              </w:rPr>
              <w:t xml:space="preserve">Жалобы , направляемые в ЕААС , должны ограничиваться вопросами </w:t>
            </w:r>
            <w:r w:rsidRPr="003A329D">
              <w:t xml:space="preserve">деятельности, политик </w:t>
            </w:r>
            <w:r w:rsidRPr="003A329D">
              <w:lastRenderedPageBreak/>
              <w:t>и/или процедур ЕААС</w:t>
            </w:r>
            <w:r>
              <w:rPr>
                <w:lang w:val="ky-KG"/>
              </w:rPr>
              <w:t xml:space="preserve">, </w:t>
            </w:r>
            <w:r w:rsidRPr="000D30C2">
              <w:rPr>
                <w:color w:val="0070C0"/>
                <w:lang w:val="ky-KG"/>
              </w:rPr>
              <w:t xml:space="preserve"> участников ЕААС</w:t>
            </w:r>
            <w:r>
              <w:rPr>
                <w:color w:val="0070C0"/>
                <w:lang w:val="ky-KG"/>
              </w:rPr>
              <w:t xml:space="preserve"> </w:t>
            </w:r>
            <w:r w:rsidRPr="000D30C2">
              <w:rPr>
                <w:color w:val="0070C0"/>
                <w:lang w:val="ky-KG"/>
              </w:rPr>
              <w:t xml:space="preserve">и/или </w:t>
            </w:r>
            <w:r>
              <w:rPr>
                <w:color w:val="0070C0"/>
                <w:lang w:val="ky-KG"/>
              </w:rPr>
              <w:t xml:space="preserve">услуг </w:t>
            </w:r>
            <w:r w:rsidRPr="000D30C2">
              <w:rPr>
                <w:color w:val="0070C0"/>
                <w:lang w:val="ky-KG"/>
              </w:rPr>
              <w:t xml:space="preserve">аккредитованных ими органов по оценке соответствия, </w:t>
            </w:r>
            <w:r>
              <w:rPr>
                <w:color w:val="0070C0"/>
                <w:lang w:val="ky-KG"/>
              </w:rPr>
              <w:t xml:space="preserve"> в том числе </w:t>
            </w:r>
            <w:r w:rsidRPr="000D30C2">
              <w:rPr>
                <w:color w:val="0070C0"/>
                <w:lang w:val="ky-KG"/>
              </w:rPr>
              <w:t>процесс</w:t>
            </w:r>
            <w:r>
              <w:rPr>
                <w:color w:val="0070C0"/>
                <w:lang w:val="ky-KG"/>
              </w:rPr>
              <w:t>ов</w:t>
            </w:r>
            <w:r w:rsidRPr="000D30C2">
              <w:rPr>
                <w:color w:val="0070C0"/>
                <w:lang w:val="ky-KG"/>
              </w:rPr>
              <w:t xml:space="preserve"> аккредитации в отношении соответствия требованиям документов ЕААС</w:t>
            </w:r>
            <w:r>
              <w:rPr>
                <w:color w:val="0070C0"/>
                <w:lang w:val="ky-KG"/>
              </w:rPr>
              <w:t>, д</w:t>
            </w:r>
            <w:r w:rsidRPr="000D30C2">
              <w:rPr>
                <w:color w:val="0070C0"/>
                <w:lang w:val="ky-KG"/>
              </w:rPr>
              <w:t>окументов членов ЕААС,</w:t>
            </w:r>
            <w:r>
              <w:rPr>
                <w:color w:val="0070C0"/>
                <w:lang w:val="ky-KG"/>
              </w:rPr>
              <w:t xml:space="preserve"> </w:t>
            </w:r>
            <w:r w:rsidRPr="000D30C2">
              <w:rPr>
                <w:color w:val="0070C0"/>
                <w:lang w:val="ky-KG"/>
              </w:rPr>
              <w:t>требования</w:t>
            </w:r>
            <w:r>
              <w:rPr>
                <w:color w:val="0070C0"/>
                <w:lang w:val="ky-KG"/>
              </w:rPr>
              <w:t xml:space="preserve">м </w:t>
            </w:r>
            <w:r w:rsidRPr="000D30C2">
              <w:rPr>
                <w:color w:val="0070C0"/>
                <w:lang w:val="ky-KG"/>
              </w:rPr>
              <w:t>соответствующих документ</w:t>
            </w:r>
            <w:r>
              <w:rPr>
                <w:color w:val="0070C0"/>
                <w:lang w:val="ky-KG"/>
              </w:rPr>
              <w:t>ов</w:t>
            </w:r>
            <w:r w:rsidRPr="000D30C2">
              <w:rPr>
                <w:color w:val="0070C0"/>
                <w:lang w:val="ky-KG"/>
              </w:rPr>
              <w:t xml:space="preserve"> </w:t>
            </w:r>
            <w:r w:rsidRPr="000D30C2">
              <w:rPr>
                <w:color w:val="0070C0"/>
                <w:lang w:val="en-US"/>
              </w:rPr>
              <w:t>ILAC</w:t>
            </w:r>
            <w:r w:rsidRPr="000D30C2">
              <w:rPr>
                <w:color w:val="0070C0"/>
              </w:rPr>
              <w:t xml:space="preserve">, </w:t>
            </w:r>
            <w:r w:rsidRPr="000D30C2">
              <w:rPr>
                <w:color w:val="0070C0"/>
                <w:lang w:val="en-US"/>
              </w:rPr>
              <w:t>IAF</w:t>
            </w:r>
            <w:r w:rsidRPr="000D30C2">
              <w:rPr>
                <w:color w:val="0070C0"/>
              </w:rPr>
              <w:t xml:space="preserve"> и/или др.</w:t>
            </w:r>
          </w:p>
          <w:p w:rsidR="00FC6FF9" w:rsidRDefault="00FC6FF9" w:rsidP="00FC6FF9">
            <w:pPr>
              <w:spacing w:line="360" w:lineRule="auto"/>
              <w:ind w:firstLine="709"/>
            </w:pPr>
            <w:r>
              <w:rPr>
                <w:lang w:val="ky-KG"/>
              </w:rPr>
              <w:t>В случае, если ж</w:t>
            </w:r>
            <w:r w:rsidRPr="00A81CCD">
              <w:t>алоб</w:t>
            </w:r>
            <w:r>
              <w:rPr>
                <w:lang w:val="ky-KG"/>
              </w:rPr>
              <w:t>а</w:t>
            </w:r>
            <w:r w:rsidRPr="00A81CCD">
              <w:t>/апелляци</w:t>
            </w:r>
            <w:r>
              <w:rPr>
                <w:lang w:val="ky-KG"/>
              </w:rPr>
              <w:t>я</w:t>
            </w:r>
            <w:r w:rsidRPr="00A81CCD">
              <w:t xml:space="preserve"> </w:t>
            </w:r>
            <w:r w:rsidRPr="000D30C2">
              <w:rPr>
                <w:color w:val="0070C0"/>
              </w:rPr>
              <w:t xml:space="preserve">не </w:t>
            </w:r>
            <w:r w:rsidRPr="00975B05">
              <w:rPr>
                <w:color w:val="0070C0"/>
              </w:rPr>
              <w:t xml:space="preserve">касается положения, изложенного в </w:t>
            </w:r>
            <w:r w:rsidRPr="00975B05">
              <w:rPr>
                <w:color w:val="0070C0"/>
                <w:lang w:val="ky-KG"/>
              </w:rPr>
              <w:t xml:space="preserve">настоящем пункте,  Секретариат ЕААС </w:t>
            </w:r>
            <w:r w:rsidRPr="00975B05">
              <w:rPr>
                <w:color w:val="0070C0"/>
              </w:rPr>
              <w:t xml:space="preserve"> информирует </w:t>
            </w:r>
            <w:r w:rsidRPr="00975B05">
              <w:rPr>
                <w:color w:val="0070C0"/>
                <w:lang w:val="ky-KG"/>
              </w:rPr>
              <w:t xml:space="preserve">подателя </w:t>
            </w:r>
            <w:r w:rsidRPr="00975B05">
              <w:rPr>
                <w:color w:val="0070C0"/>
              </w:rPr>
              <w:t xml:space="preserve">об  </w:t>
            </w:r>
            <w:r w:rsidR="00975B05" w:rsidRPr="00975B05">
              <w:rPr>
                <w:color w:val="0070C0"/>
                <w:lang w:val="ky-KG"/>
              </w:rPr>
              <w:t xml:space="preserve">ее </w:t>
            </w:r>
            <w:r w:rsidRPr="00975B05">
              <w:rPr>
                <w:color w:val="0070C0"/>
              </w:rPr>
              <w:t>отклонени</w:t>
            </w:r>
            <w:r w:rsidRPr="00975B05">
              <w:rPr>
                <w:color w:val="0070C0"/>
                <w:lang w:val="ky-KG"/>
              </w:rPr>
              <w:t>и</w:t>
            </w:r>
            <w:r w:rsidRPr="00975B05">
              <w:rPr>
                <w:color w:val="0070C0"/>
              </w:rPr>
              <w:t xml:space="preserve"> с объяснением в письменном виде</w:t>
            </w:r>
            <w:r w:rsidRPr="00975B05">
              <w:rPr>
                <w:color w:val="0070C0"/>
                <w:lang w:val="ky-KG"/>
              </w:rPr>
              <w:t xml:space="preserve">. </w:t>
            </w:r>
          </w:p>
        </w:tc>
      </w:tr>
      <w:tr w:rsidR="00FC6FF9" w:rsidRPr="002231B3" w:rsidTr="00513A0A">
        <w:tc>
          <w:tcPr>
            <w:tcW w:w="1878" w:type="dxa"/>
          </w:tcPr>
          <w:p w:rsidR="00FC6FF9" w:rsidRPr="002231B3" w:rsidRDefault="00FC6FF9" w:rsidP="00FE48E8">
            <w:pPr>
              <w:jc w:val="center"/>
            </w:pPr>
          </w:p>
        </w:tc>
        <w:tc>
          <w:tcPr>
            <w:tcW w:w="3357" w:type="dxa"/>
          </w:tcPr>
          <w:p w:rsidR="00FC6FF9" w:rsidRPr="002231B3" w:rsidRDefault="00FC6FF9" w:rsidP="0008715A">
            <w:pPr>
              <w:shd w:val="clear" w:color="auto" w:fill="FFFFFF"/>
              <w:spacing w:before="100" w:beforeAutospacing="1" w:after="100" w:afterAutospacing="1"/>
            </w:pPr>
          </w:p>
        </w:tc>
        <w:tc>
          <w:tcPr>
            <w:tcW w:w="4407" w:type="dxa"/>
          </w:tcPr>
          <w:p w:rsidR="00FC6FF9" w:rsidRDefault="00FC6FF9" w:rsidP="00FE48E8">
            <w:pPr>
              <w:autoSpaceDE w:val="0"/>
              <w:autoSpaceDN w:val="0"/>
              <w:adjustRightInd w:val="0"/>
              <w:jc w:val="both"/>
              <w:rPr>
                <w:color w:val="333333"/>
              </w:rPr>
            </w:pPr>
            <w:r w:rsidRPr="00DE7721">
              <w:rPr>
                <w:color w:val="333333"/>
              </w:rPr>
              <w:t xml:space="preserve"> п. </w:t>
            </w:r>
            <w:r>
              <w:rPr>
                <w:color w:val="333333"/>
              </w:rPr>
              <w:t>3</w:t>
            </w:r>
            <w:r w:rsidRPr="00DE7721">
              <w:rPr>
                <w:color w:val="333333"/>
              </w:rPr>
              <w:t>.</w:t>
            </w:r>
            <w:r>
              <w:rPr>
                <w:color w:val="333333"/>
              </w:rPr>
              <w:t>2</w:t>
            </w:r>
            <w:r w:rsidRPr="00DE7721">
              <w:rPr>
                <w:color w:val="333333"/>
              </w:rPr>
              <w:t xml:space="preserve"> </w:t>
            </w:r>
            <w:r>
              <w:rPr>
                <w:color w:val="333333"/>
              </w:rPr>
              <w:t>дополнить:</w:t>
            </w:r>
          </w:p>
          <w:p w:rsidR="00FC6FF9" w:rsidRPr="002231B3" w:rsidRDefault="00FC6FF9" w:rsidP="00FE48E8">
            <w:pPr>
              <w:autoSpaceDE w:val="0"/>
              <w:autoSpaceDN w:val="0"/>
              <w:adjustRightInd w:val="0"/>
              <w:jc w:val="both"/>
            </w:pPr>
            <w:r>
              <w:t xml:space="preserve">«Секретариат информирует об отклонении жалобы (с объяснением в письменном виде), если она не касается изложенного в дополнении БГЦА п. </w:t>
            </w:r>
            <w:r>
              <w:lastRenderedPageBreak/>
              <w:t>3.1»</w:t>
            </w:r>
          </w:p>
        </w:tc>
        <w:tc>
          <w:tcPr>
            <w:tcW w:w="5634" w:type="dxa"/>
            <w:vMerge/>
          </w:tcPr>
          <w:p w:rsidR="00FC6FF9" w:rsidRPr="00A75A23" w:rsidRDefault="00FC6FF9" w:rsidP="009F702A">
            <w:pPr>
              <w:spacing w:line="360" w:lineRule="auto"/>
              <w:ind w:firstLine="709"/>
              <w:rPr>
                <w:lang w:val="ky-KG"/>
              </w:rPr>
            </w:pPr>
          </w:p>
        </w:tc>
      </w:tr>
      <w:tr w:rsidR="00EA2055" w:rsidRPr="00487F70" w:rsidTr="00513A0A">
        <w:tc>
          <w:tcPr>
            <w:tcW w:w="1878" w:type="dxa"/>
          </w:tcPr>
          <w:p w:rsidR="00EA2055" w:rsidRDefault="00EA2055" w:rsidP="00EA2055">
            <w:pPr>
              <w:jc w:val="center"/>
            </w:pPr>
            <w:bookmarkStart w:id="1" w:name="_Hlk72223446"/>
          </w:p>
          <w:p w:rsidR="00EA2055" w:rsidRPr="002231B3" w:rsidRDefault="00EA2055" w:rsidP="00EA2055">
            <w:pPr>
              <w:jc w:val="center"/>
            </w:pPr>
          </w:p>
        </w:tc>
        <w:tc>
          <w:tcPr>
            <w:tcW w:w="3357" w:type="dxa"/>
          </w:tcPr>
          <w:p w:rsidR="00EA2055" w:rsidRPr="002231B3" w:rsidRDefault="00EA2055" w:rsidP="00EA2055">
            <w:pPr>
              <w:shd w:val="clear" w:color="auto" w:fill="FFFFFF"/>
              <w:spacing w:before="100" w:beforeAutospacing="1" w:after="100" w:afterAutospacing="1"/>
            </w:pPr>
          </w:p>
        </w:tc>
        <w:tc>
          <w:tcPr>
            <w:tcW w:w="4407" w:type="dxa"/>
          </w:tcPr>
          <w:p w:rsidR="00EA2055" w:rsidRDefault="00EA2055" w:rsidP="00EA2055">
            <w:pPr>
              <w:autoSpaceDE w:val="0"/>
              <w:autoSpaceDN w:val="0"/>
              <w:adjustRightInd w:val="0"/>
              <w:jc w:val="both"/>
            </w:pPr>
            <w:r>
              <w:t>П.4.1.2 перенести пункт в раздел 3 и  уточнить формулировку:</w:t>
            </w:r>
          </w:p>
          <w:p w:rsidR="00EA2055" w:rsidRDefault="00EA2055" w:rsidP="00EA2055">
            <w:pPr>
              <w:autoSpaceDE w:val="0"/>
              <w:autoSpaceDN w:val="0"/>
              <w:adjustRightInd w:val="0"/>
              <w:jc w:val="both"/>
            </w:pPr>
            <w:r>
              <w:t xml:space="preserve">«если поступает жалоба относительно деятельности участника ЕААС, независимо от того, поступает ли она от третьей стороны, аккредитованного органа по оценке соответствия или другого участника ЕААС, непосредственной задачей ЕААС относительно данного вопроса, является гарантия того, что участник ЕААС, на которого подана жалоба, первоначально сам имел возможность решить конкретный вопрос посредством своей собственной процедуры по работе с жалобами и апелляциями, а также посредством непосредственных </w:t>
            </w:r>
            <w:r>
              <w:lastRenderedPageBreak/>
              <w:t>переговоров с подателем жалобы.</w:t>
            </w:r>
          </w:p>
          <w:p w:rsidR="00EA2055" w:rsidRDefault="00EA2055" w:rsidP="00EA2055">
            <w:pPr>
              <w:autoSpaceDE w:val="0"/>
              <w:autoSpaceDN w:val="0"/>
              <w:adjustRightInd w:val="0"/>
              <w:jc w:val="both"/>
            </w:pPr>
            <w:r>
              <w:t>Обязанностью подателя жалобы является предоставление ЕААС соответствующей документации, которая продемонстрирует, что жалоба уже представлена на рассмотрение по процедуре рассмотрения жалоб/апелляций самого участника ЕААС.</w:t>
            </w:r>
          </w:p>
          <w:p w:rsidR="00EA2055" w:rsidRPr="002231B3" w:rsidRDefault="00EA2055" w:rsidP="00EA2055">
            <w:pPr>
              <w:autoSpaceDE w:val="0"/>
              <w:autoSpaceDN w:val="0"/>
              <w:adjustRightInd w:val="0"/>
              <w:jc w:val="both"/>
            </w:pPr>
            <w:r>
              <w:t>Если участнику ЕААС не удалось удовлетворительно разрешить жалобу в течении соответствующего срока, то податель жалобы имеет право передать дело для разрешения в ЕААС, используя данную процедуру ЕААС. Участник ЕААС должен информировать подателя жалобы о ходе рассмотрения жалобы.»</w:t>
            </w:r>
          </w:p>
        </w:tc>
        <w:tc>
          <w:tcPr>
            <w:tcW w:w="5634" w:type="dxa"/>
          </w:tcPr>
          <w:p w:rsidR="00F83CDD" w:rsidRPr="00F83CDD" w:rsidRDefault="00F83CDD" w:rsidP="00F83CDD">
            <w:pPr>
              <w:tabs>
                <w:tab w:val="right" w:pos="9639"/>
              </w:tabs>
              <w:spacing w:line="360" w:lineRule="auto"/>
              <w:ind w:firstLine="709"/>
              <w:jc w:val="both"/>
              <w:rPr>
                <w:lang w:val="ky-KG"/>
              </w:rPr>
            </w:pPr>
            <w:r>
              <w:rPr>
                <w:lang w:val="ky-KG"/>
              </w:rPr>
              <w:lastRenderedPageBreak/>
              <w:t>Принято частично. Изложено в редакции:</w:t>
            </w:r>
          </w:p>
          <w:p w:rsidR="00F83CDD" w:rsidRPr="00FC6FF9" w:rsidRDefault="00F83CDD" w:rsidP="00F83CDD">
            <w:pPr>
              <w:tabs>
                <w:tab w:val="right" w:pos="9639"/>
              </w:tabs>
              <w:spacing w:line="360" w:lineRule="auto"/>
              <w:ind w:firstLine="709"/>
              <w:jc w:val="both"/>
              <w:rPr>
                <w:color w:val="0070C0"/>
              </w:rPr>
            </w:pPr>
            <w:r w:rsidRPr="006979E6">
              <w:t>4.1.1 Жалоба/апелляция на деятельность, политику и/или процедуры</w:t>
            </w:r>
            <w:r w:rsidRPr="009244AE">
              <w:rPr>
                <w:color w:val="FF0000"/>
              </w:rPr>
              <w:t xml:space="preserve"> </w:t>
            </w:r>
            <w:r w:rsidRPr="00920648">
              <w:t>ЕААС</w:t>
            </w:r>
            <w:r>
              <w:rPr>
                <w:lang w:val="ky-KG"/>
              </w:rPr>
              <w:t xml:space="preserve">, </w:t>
            </w:r>
            <w:r w:rsidRPr="00027AAF">
              <w:rPr>
                <w:color w:val="0070C0"/>
              </w:rPr>
              <w:t>а также повторные жалобы</w:t>
            </w:r>
            <w:r w:rsidR="00FC6FF9" w:rsidRPr="00027AAF">
              <w:rPr>
                <w:color w:val="0070C0"/>
              </w:rPr>
              <w:t>/апелляции</w:t>
            </w:r>
            <w:r w:rsidRPr="00027AAF">
              <w:rPr>
                <w:color w:val="0070C0"/>
              </w:rPr>
              <w:t xml:space="preserve"> на деятельность Участника ЕААС направляются непосредственно </w:t>
            </w:r>
            <w:r w:rsidRPr="00027AAF">
              <w:rPr>
                <w:color w:val="0070C0"/>
                <w:u w:val="single"/>
              </w:rPr>
              <w:t>Председателю ЕААС.</w:t>
            </w:r>
          </w:p>
          <w:p w:rsidR="00F83CDD" w:rsidRPr="00027AAF" w:rsidRDefault="00F83CDD" w:rsidP="00F83CDD">
            <w:pPr>
              <w:autoSpaceDE w:val="0"/>
              <w:autoSpaceDN w:val="0"/>
              <w:adjustRightInd w:val="0"/>
              <w:spacing w:line="360" w:lineRule="auto"/>
              <w:ind w:firstLine="709"/>
              <w:jc w:val="both"/>
              <w:rPr>
                <w:color w:val="0070C0"/>
                <w:lang w:val="ky-KG"/>
              </w:rPr>
            </w:pPr>
            <w:r w:rsidRPr="006979E6">
              <w:t>4.1.2 Жалоба</w:t>
            </w:r>
            <w:r w:rsidR="00FC6FF9" w:rsidRPr="00027AAF">
              <w:rPr>
                <w:color w:val="0070C0"/>
              </w:rPr>
              <w:t>/апелляция</w:t>
            </w:r>
            <w:r w:rsidRPr="00027AAF">
              <w:rPr>
                <w:color w:val="0070C0"/>
              </w:rPr>
              <w:t xml:space="preserve"> </w:t>
            </w:r>
            <w:r w:rsidRPr="006979E6">
              <w:t>на деятельность Участника</w:t>
            </w:r>
            <w:r w:rsidRPr="00F07919">
              <w:rPr>
                <w:color w:val="FF0000"/>
              </w:rPr>
              <w:t xml:space="preserve"> </w:t>
            </w:r>
            <w:r w:rsidRPr="00920648">
              <w:t xml:space="preserve">ЕААС </w:t>
            </w:r>
            <w:r w:rsidRPr="00027AAF">
              <w:rPr>
                <w:color w:val="0070C0"/>
                <w:lang w:val="ky-KG"/>
              </w:rPr>
              <w:t>первоначально</w:t>
            </w:r>
            <w:r>
              <w:rPr>
                <w:lang w:val="ky-KG"/>
              </w:rPr>
              <w:t xml:space="preserve"> </w:t>
            </w:r>
            <w:r w:rsidRPr="002D2334">
              <w:t>направляется для рассмотрения непосредственно Участнику</w:t>
            </w:r>
            <w:r w:rsidRPr="002D2334">
              <w:rPr>
                <w:color w:val="FF0000"/>
              </w:rPr>
              <w:t xml:space="preserve"> </w:t>
            </w:r>
            <w:r w:rsidRPr="002D2334">
              <w:t>ЕААС, в соответствии с национальным законодательством страны, которую представляет Участник</w:t>
            </w:r>
            <w:r w:rsidRPr="002D2334">
              <w:rPr>
                <w:color w:val="FF0000"/>
              </w:rPr>
              <w:t xml:space="preserve"> </w:t>
            </w:r>
            <w:r w:rsidRPr="002D2334">
              <w:t>ЕААС.</w:t>
            </w:r>
            <w:r w:rsidRPr="002D2334">
              <w:rPr>
                <w:color w:val="FF0000"/>
              </w:rPr>
              <w:t xml:space="preserve"> </w:t>
            </w:r>
            <w:r w:rsidRPr="002D2334">
              <w:lastRenderedPageBreak/>
              <w:t>Если податель жалобы</w:t>
            </w:r>
            <w:r w:rsidR="00FC6FF9" w:rsidRPr="00027AAF">
              <w:rPr>
                <w:color w:val="0070C0"/>
              </w:rPr>
              <w:t>/апелляции</w:t>
            </w:r>
            <w:r w:rsidRPr="00027AAF">
              <w:rPr>
                <w:color w:val="0070C0"/>
              </w:rPr>
              <w:t xml:space="preserve"> </w:t>
            </w:r>
            <w:r w:rsidRPr="002D2334">
              <w:t>не удовлетворен тем, что процедура рассмотрения жалобы Участником</w:t>
            </w:r>
            <w:r w:rsidRPr="002D2334">
              <w:rPr>
                <w:color w:val="FF0000"/>
              </w:rPr>
              <w:t xml:space="preserve"> </w:t>
            </w:r>
            <w:r w:rsidRPr="002D2334">
              <w:t>ЕААС</w:t>
            </w:r>
            <w:r w:rsidRPr="002D2334">
              <w:rPr>
                <w:color w:val="FF0000"/>
              </w:rPr>
              <w:t xml:space="preserve"> </w:t>
            </w:r>
            <w:r w:rsidRPr="002D2334">
              <w:tab/>
              <w:t>была соблюдена, то податель жалобы</w:t>
            </w:r>
            <w:r w:rsidR="00FC6FF9" w:rsidRPr="00027AAF">
              <w:rPr>
                <w:color w:val="0070C0"/>
              </w:rPr>
              <w:t xml:space="preserve">/апелляции </w:t>
            </w:r>
            <w:r w:rsidRPr="00027AAF">
              <w:rPr>
                <w:color w:val="0070C0"/>
              </w:rPr>
              <w:t xml:space="preserve"> </w:t>
            </w:r>
            <w:r w:rsidRPr="002D2334">
              <w:t>может подать повторную жалобу</w:t>
            </w:r>
            <w:r w:rsidR="00FC6FF9" w:rsidRPr="00027AAF">
              <w:rPr>
                <w:color w:val="0070C0"/>
              </w:rPr>
              <w:t>/апелляцию</w:t>
            </w:r>
            <w:r w:rsidRPr="00027AAF">
              <w:rPr>
                <w:color w:val="0070C0"/>
              </w:rPr>
              <w:t xml:space="preserve"> </w:t>
            </w:r>
            <w:r w:rsidRPr="002D2334">
              <w:t>в</w:t>
            </w:r>
            <w:r w:rsidRPr="002D2334">
              <w:rPr>
                <w:color w:val="FF0000"/>
              </w:rPr>
              <w:t xml:space="preserve"> </w:t>
            </w:r>
            <w:r w:rsidRPr="002D2334">
              <w:t>ЕААС</w:t>
            </w:r>
            <w:r w:rsidRPr="002D2334">
              <w:rPr>
                <w:color w:val="FF0000"/>
              </w:rPr>
              <w:t xml:space="preserve"> </w:t>
            </w:r>
            <w:r w:rsidRPr="002D2334">
              <w:t>в соответствии с пунктом 3.</w:t>
            </w:r>
            <w:r>
              <w:rPr>
                <w:lang w:val="ky-KG"/>
              </w:rPr>
              <w:t>3</w:t>
            </w:r>
            <w:r w:rsidRPr="002D2334">
              <w:t xml:space="preserve"> </w:t>
            </w:r>
            <w:r w:rsidR="00FC6FF9" w:rsidRPr="00027AAF">
              <w:rPr>
                <w:color w:val="0070C0"/>
              </w:rPr>
              <w:t>настоящего</w:t>
            </w:r>
            <w:r w:rsidRPr="002D2334">
              <w:t xml:space="preserve"> документ</w:t>
            </w:r>
            <w:r w:rsidRPr="00203CDE">
              <w:t>а.</w:t>
            </w:r>
            <w:r w:rsidRPr="00203CDE">
              <w:rPr>
                <w:color w:val="00B0F0"/>
                <w:lang w:val="ky-KG"/>
              </w:rPr>
              <w:t xml:space="preserve"> </w:t>
            </w:r>
            <w:r w:rsidRPr="00027AAF">
              <w:rPr>
                <w:color w:val="0070C0"/>
                <w:lang w:val="ky-KG"/>
              </w:rPr>
              <w:t>Обязанностью подателя жалобы</w:t>
            </w:r>
            <w:r w:rsidR="00FC6FF9" w:rsidRPr="00027AAF">
              <w:rPr>
                <w:color w:val="0070C0"/>
              </w:rPr>
              <w:t>/апелляции</w:t>
            </w:r>
            <w:r w:rsidRPr="00027AAF">
              <w:rPr>
                <w:color w:val="0070C0"/>
                <w:lang w:val="ky-KG"/>
              </w:rPr>
              <w:t xml:space="preserve"> является предоставление ЕААС соответствующей документации, которая продемонстрирует, что жалоба уже представлена на рассмотрение по процедуре рассмотрения жалоб/апелляций самого участника ЕААС.</w:t>
            </w:r>
          </w:p>
          <w:p w:rsidR="00EA2055" w:rsidRPr="0001229D" w:rsidRDefault="00EA2055" w:rsidP="00EA2055">
            <w:pPr>
              <w:autoSpaceDE w:val="0"/>
              <w:autoSpaceDN w:val="0"/>
              <w:adjustRightInd w:val="0"/>
              <w:jc w:val="both"/>
              <w:rPr>
                <w:color w:val="0070C0"/>
                <w:lang w:val="ky-KG"/>
              </w:rPr>
            </w:pPr>
          </w:p>
        </w:tc>
      </w:tr>
      <w:bookmarkEnd w:id="1"/>
      <w:tr w:rsidR="00EA2055" w:rsidRPr="00487F70" w:rsidTr="00FC6FF9">
        <w:tc>
          <w:tcPr>
            <w:tcW w:w="15276" w:type="dxa"/>
            <w:gridSpan w:val="4"/>
          </w:tcPr>
          <w:p w:rsidR="00EA2055" w:rsidRPr="00B73FD3" w:rsidRDefault="00EA2055" w:rsidP="00EA2055">
            <w:pPr>
              <w:jc w:val="center"/>
              <w:rPr>
                <w:lang w:val="ky-KG"/>
              </w:rPr>
            </w:pPr>
            <w:r>
              <w:rPr>
                <w:b/>
              </w:rPr>
              <w:lastRenderedPageBreak/>
              <w:t xml:space="preserve">Письмо МГС от </w:t>
            </w:r>
            <w:r>
              <w:rPr>
                <w:b/>
                <w:lang w:val="en-US"/>
              </w:rPr>
              <w:t>OZAKK</w:t>
            </w:r>
            <w:r>
              <w:rPr>
                <w:b/>
              </w:rPr>
              <w:t xml:space="preserve"> (</w:t>
            </w:r>
            <w:r>
              <w:rPr>
                <w:b/>
                <w:lang w:val="ky-KG"/>
              </w:rPr>
              <w:t xml:space="preserve"> исх.№ 1/358 от 18.02.2021г., </w:t>
            </w:r>
            <w:r>
              <w:rPr>
                <w:b/>
              </w:rPr>
              <w:t>вх.№ от</w:t>
            </w:r>
            <w:r>
              <w:rPr>
                <w:b/>
                <w:lang w:val="ky-KG"/>
              </w:rPr>
              <w:t>24</w:t>
            </w:r>
            <w:r>
              <w:rPr>
                <w:b/>
              </w:rPr>
              <w:t>.</w:t>
            </w:r>
            <w:r>
              <w:rPr>
                <w:b/>
                <w:lang w:val="ky-KG"/>
              </w:rPr>
              <w:t>02</w:t>
            </w:r>
            <w:r>
              <w:rPr>
                <w:b/>
              </w:rPr>
              <w:t>.202</w:t>
            </w:r>
            <w:r>
              <w:rPr>
                <w:b/>
                <w:lang w:val="ky-KG"/>
              </w:rPr>
              <w:t>1</w:t>
            </w:r>
            <w:r>
              <w:rPr>
                <w:b/>
              </w:rPr>
              <w:t xml:space="preserve">г.) Закиров А. -Директор </w:t>
            </w:r>
          </w:p>
        </w:tc>
      </w:tr>
      <w:tr w:rsidR="00EA2055" w:rsidRPr="00487F70" w:rsidTr="00513A0A">
        <w:tc>
          <w:tcPr>
            <w:tcW w:w="1878" w:type="dxa"/>
          </w:tcPr>
          <w:p w:rsidR="00EA2055" w:rsidRDefault="00EA2055" w:rsidP="00EA2055">
            <w:pPr>
              <w:jc w:val="center"/>
            </w:pPr>
          </w:p>
        </w:tc>
        <w:tc>
          <w:tcPr>
            <w:tcW w:w="3357" w:type="dxa"/>
          </w:tcPr>
          <w:p w:rsidR="00EA2055" w:rsidRPr="002231B3" w:rsidRDefault="00EA2055" w:rsidP="00EA2055">
            <w:pPr>
              <w:shd w:val="clear" w:color="auto" w:fill="FFFFFF"/>
              <w:spacing w:before="100" w:beforeAutospacing="1" w:after="100" w:afterAutospacing="1"/>
            </w:pPr>
          </w:p>
        </w:tc>
        <w:tc>
          <w:tcPr>
            <w:tcW w:w="4407" w:type="dxa"/>
          </w:tcPr>
          <w:p w:rsidR="00EA2055" w:rsidRPr="005570EE" w:rsidRDefault="00EA2055" w:rsidP="00EA2055">
            <w:pPr>
              <w:autoSpaceDE w:val="0"/>
              <w:autoSpaceDN w:val="0"/>
              <w:adjustRightInd w:val="0"/>
              <w:jc w:val="both"/>
              <w:rPr>
                <w:lang w:val="ky-KG"/>
              </w:rPr>
            </w:pPr>
            <w:r>
              <w:rPr>
                <w:lang w:val="ky-KG"/>
              </w:rPr>
              <w:t xml:space="preserve">По пп. 4.3, 4.5, 4.7., 5.1 согласны с позицией КЦА </w:t>
            </w:r>
          </w:p>
        </w:tc>
        <w:tc>
          <w:tcPr>
            <w:tcW w:w="5634" w:type="dxa"/>
          </w:tcPr>
          <w:p w:rsidR="00EA2055" w:rsidRPr="00B73FD3" w:rsidRDefault="00EA2055" w:rsidP="00EA2055">
            <w:pPr>
              <w:rPr>
                <w:lang w:val="ky-KG"/>
              </w:rPr>
            </w:pPr>
          </w:p>
        </w:tc>
      </w:tr>
      <w:tr w:rsidR="00EA2055" w:rsidRPr="00487F70" w:rsidTr="00513A0A">
        <w:tc>
          <w:tcPr>
            <w:tcW w:w="1878" w:type="dxa"/>
          </w:tcPr>
          <w:p w:rsidR="00EA2055" w:rsidRDefault="00EA2055" w:rsidP="00EA2055">
            <w:pPr>
              <w:jc w:val="center"/>
            </w:pPr>
          </w:p>
        </w:tc>
        <w:tc>
          <w:tcPr>
            <w:tcW w:w="3357" w:type="dxa"/>
          </w:tcPr>
          <w:p w:rsidR="00EA2055" w:rsidRPr="002231B3" w:rsidRDefault="00EA2055" w:rsidP="00EA2055">
            <w:pPr>
              <w:shd w:val="clear" w:color="auto" w:fill="FFFFFF"/>
              <w:spacing w:before="100" w:beforeAutospacing="1" w:after="100" w:afterAutospacing="1"/>
            </w:pPr>
          </w:p>
        </w:tc>
        <w:tc>
          <w:tcPr>
            <w:tcW w:w="4407" w:type="dxa"/>
          </w:tcPr>
          <w:p w:rsidR="00EA2055" w:rsidRDefault="00EA2055" w:rsidP="00EA2055">
            <w:pPr>
              <w:autoSpaceDE w:val="0"/>
              <w:autoSpaceDN w:val="0"/>
              <w:adjustRightInd w:val="0"/>
              <w:jc w:val="both"/>
            </w:pPr>
            <w:r>
              <w:t>П.4.1.2</w:t>
            </w:r>
          </w:p>
          <w:p w:rsidR="00EA2055" w:rsidRDefault="00EA2055" w:rsidP="00EA2055">
            <w:pPr>
              <w:autoSpaceDE w:val="0"/>
              <w:autoSpaceDN w:val="0"/>
              <w:adjustRightInd w:val="0"/>
              <w:jc w:val="both"/>
            </w:pPr>
            <w:r>
              <w:t>Предлагается после слов «… процедура рассмотрения жалоб…..» дополнить выражением «….. предусмотренная настоящей процедурой».</w:t>
            </w:r>
          </w:p>
        </w:tc>
        <w:tc>
          <w:tcPr>
            <w:tcW w:w="5634" w:type="dxa"/>
          </w:tcPr>
          <w:p w:rsidR="00EA2055" w:rsidRPr="00B73FD3" w:rsidRDefault="001E2AFA" w:rsidP="00EA2055">
            <w:pPr>
              <w:rPr>
                <w:lang w:val="ky-KG"/>
              </w:rPr>
            </w:pPr>
            <w:r>
              <w:rPr>
                <w:lang w:val="ky-KG"/>
              </w:rPr>
              <w:t xml:space="preserve">К сожалению, не можем согласиться . т.к. речь в данном пункте идет именно о процедурах по жалобам/апеллациям , установленных в Национальных системах аккредитации. </w:t>
            </w:r>
          </w:p>
        </w:tc>
      </w:tr>
      <w:tr w:rsidR="00EA2055" w:rsidRPr="00487F70" w:rsidTr="00513A0A">
        <w:tc>
          <w:tcPr>
            <w:tcW w:w="1878" w:type="dxa"/>
          </w:tcPr>
          <w:p w:rsidR="00EA2055" w:rsidRDefault="00EA2055" w:rsidP="00EA2055">
            <w:pPr>
              <w:jc w:val="center"/>
            </w:pPr>
          </w:p>
        </w:tc>
        <w:tc>
          <w:tcPr>
            <w:tcW w:w="3357" w:type="dxa"/>
          </w:tcPr>
          <w:p w:rsidR="00EA2055" w:rsidRPr="002231B3" w:rsidRDefault="00EA2055" w:rsidP="00EA2055">
            <w:pPr>
              <w:shd w:val="clear" w:color="auto" w:fill="FFFFFF"/>
              <w:spacing w:before="100" w:beforeAutospacing="1" w:after="100" w:afterAutospacing="1"/>
            </w:pPr>
          </w:p>
        </w:tc>
        <w:tc>
          <w:tcPr>
            <w:tcW w:w="4407" w:type="dxa"/>
          </w:tcPr>
          <w:p w:rsidR="00EA2055" w:rsidRDefault="00EA2055" w:rsidP="00EA2055">
            <w:pPr>
              <w:autoSpaceDE w:val="0"/>
              <w:autoSpaceDN w:val="0"/>
              <w:adjustRightInd w:val="0"/>
              <w:jc w:val="both"/>
            </w:pPr>
            <w:r>
              <w:t xml:space="preserve">П.4.4 - предлагаем обсудить предложение по срокам выполнения указанных функций в рамках рабочего совещания по согласованию окончательного варианта процедуры.  </w:t>
            </w:r>
          </w:p>
        </w:tc>
        <w:tc>
          <w:tcPr>
            <w:tcW w:w="5634" w:type="dxa"/>
          </w:tcPr>
          <w:p w:rsidR="00EA2055" w:rsidRPr="00B73FD3" w:rsidRDefault="001E2AFA" w:rsidP="00EA2055">
            <w:pPr>
              <w:rPr>
                <w:lang w:val="ky-KG"/>
              </w:rPr>
            </w:pPr>
            <w:r>
              <w:rPr>
                <w:lang w:val="ky-KG"/>
              </w:rPr>
              <w:t>Согласны.</w:t>
            </w:r>
          </w:p>
        </w:tc>
      </w:tr>
      <w:tr w:rsidR="00EA2055" w:rsidRPr="00487F70" w:rsidTr="00513A0A">
        <w:tc>
          <w:tcPr>
            <w:tcW w:w="1878" w:type="dxa"/>
          </w:tcPr>
          <w:p w:rsidR="00EA2055" w:rsidRDefault="00EA2055" w:rsidP="00EA2055">
            <w:pPr>
              <w:jc w:val="center"/>
            </w:pPr>
          </w:p>
        </w:tc>
        <w:tc>
          <w:tcPr>
            <w:tcW w:w="3357" w:type="dxa"/>
          </w:tcPr>
          <w:p w:rsidR="00EA2055" w:rsidRPr="002231B3" w:rsidRDefault="00EA2055" w:rsidP="00EA2055">
            <w:pPr>
              <w:shd w:val="clear" w:color="auto" w:fill="FFFFFF"/>
              <w:spacing w:before="100" w:beforeAutospacing="1" w:after="100" w:afterAutospacing="1"/>
            </w:pPr>
          </w:p>
        </w:tc>
        <w:tc>
          <w:tcPr>
            <w:tcW w:w="4407" w:type="dxa"/>
          </w:tcPr>
          <w:p w:rsidR="00EA2055" w:rsidRDefault="00EA2055" w:rsidP="00EA2055">
            <w:pPr>
              <w:autoSpaceDE w:val="0"/>
              <w:autoSpaceDN w:val="0"/>
              <w:adjustRightInd w:val="0"/>
              <w:jc w:val="both"/>
            </w:pPr>
            <w:r>
              <w:t xml:space="preserve">П.4.8 </w:t>
            </w:r>
          </w:p>
          <w:p w:rsidR="00EA2055" w:rsidRDefault="00EA2055" w:rsidP="00EA2055">
            <w:pPr>
              <w:autoSpaceDE w:val="0"/>
              <w:autoSpaceDN w:val="0"/>
              <w:adjustRightInd w:val="0"/>
              <w:jc w:val="both"/>
            </w:pPr>
            <w:r>
              <w:t>В целях уточнения редакции,  предлагаем после слов «материалах по жалобе/апелляции…» дополнить словами «обеих сторон» и далее по тексту.</w:t>
            </w:r>
          </w:p>
        </w:tc>
        <w:tc>
          <w:tcPr>
            <w:tcW w:w="5634" w:type="dxa"/>
          </w:tcPr>
          <w:p w:rsidR="00EA2055" w:rsidRPr="00B73FD3" w:rsidRDefault="00DB08F6" w:rsidP="00EA2055">
            <w:pPr>
              <w:rPr>
                <w:lang w:val="ky-KG"/>
              </w:rPr>
            </w:pPr>
            <w:r>
              <w:rPr>
                <w:lang w:val="ky-KG"/>
              </w:rPr>
              <w:t>Не понятно замечание, предлагаем обсудить на совещании.</w:t>
            </w:r>
          </w:p>
        </w:tc>
      </w:tr>
      <w:tr w:rsidR="00EA2055" w:rsidRPr="00487F70" w:rsidTr="00FC6FF9">
        <w:tc>
          <w:tcPr>
            <w:tcW w:w="15276" w:type="dxa"/>
            <w:gridSpan w:val="4"/>
          </w:tcPr>
          <w:p w:rsidR="00EA2055" w:rsidRPr="00B73FD3" w:rsidRDefault="00EA2055" w:rsidP="00EA2055">
            <w:pPr>
              <w:rPr>
                <w:lang w:val="ky-KG"/>
              </w:rPr>
            </w:pPr>
            <w:r>
              <w:rPr>
                <w:lang w:val="ky-KG"/>
              </w:rPr>
              <w:t xml:space="preserve">                                                        </w:t>
            </w:r>
            <w:r w:rsidRPr="00B30C63">
              <w:rPr>
                <w:b/>
                <w:lang w:val="ky-KG"/>
              </w:rPr>
              <w:t>Письмо Молдак (исх.№ 24/Б4-Де-Б от 24.02.2021г.,</w:t>
            </w:r>
            <w:r>
              <w:rPr>
                <w:lang w:val="ky-KG"/>
              </w:rPr>
              <w:t xml:space="preserve"> </w:t>
            </w:r>
            <w:r>
              <w:rPr>
                <w:b/>
              </w:rPr>
              <w:t>вх.№ от</w:t>
            </w:r>
            <w:r>
              <w:rPr>
                <w:b/>
                <w:lang w:val="ky-KG"/>
              </w:rPr>
              <w:t>24</w:t>
            </w:r>
            <w:r>
              <w:rPr>
                <w:b/>
              </w:rPr>
              <w:t>.</w:t>
            </w:r>
            <w:r>
              <w:rPr>
                <w:b/>
                <w:lang w:val="ky-KG"/>
              </w:rPr>
              <w:t>02</w:t>
            </w:r>
            <w:r>
              <w:rPr>
                <w:b/>
              </w:rPr>
              <w:t>.202</w:t>
            </w:r>
            <w:r>
              <w:rPr>
                <w:b/>
                <w:lang w:val="ky-KG"/>
              </w:rPr>
              <w:t>1</w:t>
            </w:r>
            <w:r>
              <w:rPr>
                <w:b/>
              </w:rPr>
              <w:t xml:space="preserve">г.) – Е. СПОЯЛЕ </w:t>
            </w:r>
          </w:p>
        </w:tc>
      </w:tr>
      <w:tr w:rsidR="00EA2055" w:rsidRPr="00487F70" w:rsidTr="00513A0A">
        <w:tc>
          <w:tcPr>
            <w:tcW w:w="1878" w:type="dxa"/>
          </w:tcPr>
          <w:p w:rsidR="00EA2055" w:rsidRDefault="00EA2055" w:rsidP="00EA2055">
            <w:pPr>
              <w:jc w:val="center"/>
            </w:pPr>
          </w:p>
        </w:tc>
        <w:tc>
          <w:tcPr>
            <w:tcW w:w="3357" w:type="dxa"/>
          </w:tcPr>
          <w:p w:rsidR="00EA2055" w:rsidRPr="002231B3" w:rsidRDefault="00EA2055" w:rsidP="00EA2055">
            <w:pPr>
              <w:shd w:val="clear" w:color="auto" w:fill="FFFFFF"/>
              <w:spacing w:before="100" w:beforeAutospacing="1" w:after="100" w:afterAutospacing="1"/>
            </w:pPr>
          </w:p>
        </w:tc>
        <w:tc>
          <w:tcPr>
            <w:tcW w:w="4407" w:type="dxa"/>
          </w:tcPr>
          <w:p w:rsidR="00EA2055" w:rsidRDefault="00EA2055" w:rsidP="00EA2055">
            <w:pPr>
              <w:autoSpaceDE w:val="0"/>
              <w:autoSpaceDN w:val="0"/>
              <w:adjustRightInd w:val="0"/>
              <w:jc w:val="both"/>
            </w:pPr>
            <w:r>
              <w:t xml:space="preserve">Замечаний не имеет </w:t>
            </w:r>
          </w:p>
        </w:tc>
        <w:tc>
          <w:tcPr>
            <w:tcW w:w="5634" w:type="dxa"/>
          </w:tcPr>
          <w:p w:rsidR="00EA2055" w:rsidRPr="00B73FD3" w:rsidRDefault="00EA2055" w:rsidP="00EA2055">
            <w:pPr>
              <w:rPr>
                <w:lang w:val="ky-KG"/>
              </w:rPr>
            </w:pPr>
          </w:p>
        </w:tc>
      </w:tr>
      <w:tr w:rsidR="00EA2055" w:rsidRPr="00487F70" w:rsidTr="00FC6FF9">
        <w:tc>
          <w:tcPr>
            <w:tcW w:w="15276" w:type="dxa"/>
            <w:gridSpan w:val="4"/>
          </w:tcPr>
          <w:p w:rsidR="00EA2055" w:rsidRPr="00204EDC" w:rsidRDefault="00EA2055" w:rsidP="00EA2055">
            <w:pPr>
              <w:spacing w:line="280" w:lineRule="exact"/>
              <w:contextualSpacing/>
              <w:jc w:val="both"/>
              <w:rPr>
                <w:szCs w:val="30"/>
              </w:rPr>
            </w:pPr>
            <w:r w:rsidRPr="00925C49">
              <w:rPr>
                <w:b/>
                <w:lang w:val="ky-KG"/>
              </w:rPr>
              <w:t xml:space="preserve">                                                                             Госстандарт Беларусь  </w:t>
            </w:r>
            <w:r>
              <w:rPr>
                <w:b/>
                <w:lang w:val="ky-KG"/>
              </w:rPr>
              <w:t xml:space="preserve"> - </w:t>
            </w:r>
            <w:r>
              <w:rPr>
                <w:szCs w:val="30"/>
              </w:rPr>
              <w:t>З</w:t>
            </w:r>
            <w:r w:rsidRPr="00204EDC">
              <w:rPr>
                <w:szCs w:val="30"/>
              </w:rPr>
              <w:t>аместитель</w:t>
            </w:r>
            <w:r>
              <w:rPr>
                <w:szCs w:val="30"/>
              </w:rPr>
              <w:t xml:space="preserve"> </w:t>
            </w:r>
            <w:r w:rsidRPr="00204EDC">
              <w:rPr>
                <w:szCs w:val="30"/>
              </w:rPr>
              <w:t>Председателя комитета</w:t>
            </w:r>
            <w:r w:rsidRPr="00204EDC">
              <w:rPr>
                <w:szCs w:val="30"/>
              </w:rPr>
              <w:tab/>
            </w:r>
            <w:r>
              <w:rPr>
                <w:szCs w:val="30"/>
              </w:rPr>
              <w:t xml:space="preserve"> Д.П.Барташевич </w:t>
            </w:r>
          </w:p>
          <w:p w:rsidR="00EA2055" w:rsidRPr="00137E2D" w:rsidRDefault="00EA2055" w:rsidP="00EA2055">
            <w:pPr>
              <w:rPr>
                <w:b/>
              </w:rPr>
            </w:pPr>
          </w:p>
        </w:tc>
      </w:tr>
      <w:tr w:rsidR="00EA2055" w:rsidRPr="00487F70" w:rsidTr="00513A0A">
        <w:tc>
          <w:tcPr>
            <w:tcW w:w="1878" w:type="dxa"/>
          </w:tcPr>
          <w:p w:rsidR="00EA2055" w:rsidRDefault="00EA2055" w:rsidP="00EA2055">
            <w:pPr>
              <w:jc w:val="center"/>
            </w:pPr>
          </w:p>
        </w:tc>
        <w:tc>
          <w:tcPr>
            <w:tcW w:w="3357" w:type="dxa"/>
          </w:tcPr>
          <w:p w:rsidR="00EA2055" w:rsidRPr="002231B3" w:rsidRDefault="00EA2055" w:rsidP="00EA2055">
            <w:pPr>
              <w:shd w:val="clear" w:color="auto" w:fill="FFFFFF"/>
              <w:spacing w:before="100" w:beforeAutospacing="1" w:after="100" w:afterAutospacing="1"/>
            </w:pPr>
          </w:p>
        </w:tc>
        <w:tc>
          <w:tcPr>
            <w:tcW w:w="4407" w:type="dxa"/>
          </w:tcPr>
          <w:p w:rsidR="00EA2055" w:rsidRDefault="00EA2055" w:rsidP="00EA2055">
            <w:pPr>
              <w:jc w:val="both"/>
              <w:rPr>
                <w:szCs w:val="30"/>
              </w:rPr>
            </w:pPr>
            <w:r>
              <w:rPr>
                <w:szCs w:val="30"/>
              </w:rPr>
              <w:t xml:space="preserve">в области применения процедура устанавливает «порядок», далее по тексту «процесс», необходимо терминологическое уточнение; </w:t>
            </w:r>
          </w:p>
          <w:p w:rsidR="00EA2055" w:rsidRDefault="00EA2055" w:rsidP="00EA2055">
            <w:pPr>
              <w:jc w:val="both"/>
              <w:rPr>
                <w:szCs w:val="30"/>
              </w:rPr>
            </w:pPr>
            <w:r>
              <w:rPr>
                <w:szCs w:val="30"/>
              </w:rPr>
              <w:t>не установлены термины «организация кандидат», «официально уполномоченный участник»;</w:t>
            </w:r>
          </w:p>
          <w:p w:rsidR="00EA2055" w:rsidRDefault="00EA2055" w:rsidP="00EA2055">
            <w:pPr>
              <w:jc w:val="both"/>
              <w:rPr>
                <w:szCs w:val="30"/>
              </w:rPr>
            </w:pPr>
            <w:r>
              <w:rPr>
                <w:szCs w:val="30"/>
              </w:rPr>
              <w:t xml:space="preserve">в разделе нормативные ссылки и источники наименование стандартов не соответствует действительности (например, </w:t>
            </w:r>
            <w:r>
              <w:rPr>
                <w:szCs w:val="30"/>
                <w:lang w:val="en-US"/>
              </w:rPr>
              <w:t>ISO</w:t>
            </w:r>
            <w:r w:rsidRPr="00FB7E10">
              <w:rPr>
                <w:szCs w:val="30"/>
              </w:rPr>
              <w:t>/</w:t>
            </w:r>
            <w:r>
              <w:rPr>
                <w:szCs w:val="30"/>
                <w:lang w:val="en-US"/>
              </w:rPr>
              <w:t>IEC</w:t>
            </w:r>
            <w:r>
              <w:rPr>
                <w:szCs w:val="30"/>
              </w:rPr>
              <w:t xml:space="preserve"> 17000 «Оценка соответствия. Словарь и общие принципы»);</w:t>
            </w:r>
          </w:p>
          <w:p w:rsidR="00EA2055" w:rsidRPr="00204EDC" w:rsidRDefault="00EA2055" w:rsidP="00EA2055">
            <w:pPr>
              <w:jc w:val="both"/>
              <w:rPr>
                <w:szCs w:val="30"/>
              </w:rPr>
            </w:pPr>
            <w:r>
              <w:rPr>
                <w:szCs w:val="30"/>
              </w:rPr>
              <w:t>в</w:t>
            </w:r>
            <w:r w:rsidRPr="00204EDC">
              <w:rPr>
                <w:szCs w:val="30"/>
              </w:rPr>
              <w:t xml:space="preserve"> документе необходимо указ</w:t>
            </w:r>
            <w:r>
              <w:rPr>
                <w:szCs w:val="30"/>
              </w:rPr>
              <w:t>ывать</w:t>
            </w:r>
            <w:r w:rsidRPr="00204EDC">
              <w:rPr>
                <w:szCs w:val="30"/>
              </w:rPr>
              <w:t xml:space="preserve"> сокращения, которые используются в нем, а потом их применять по тексу документа. Так в п. 2.1 указана фраза «процедур ЕААС». Сокращение ЕААС расшифровано только в п. 2.3.</w:t>
            </w:r>
            <w:r>
              <w:rPr>
                <w:szCs w:val="30"/>
              </w:rPr>
              <w:t xml:space="preserve"> </w:t>
            </w:r>
          </w:p>
          <w:p w:rsidR="00EA2055" w:rsidRPr="00204EDC" w:rsidRDefault="00EA2055" w:rsidP="00EA2055">
            <w:pPr>
              <w:ind w:firstLine="720"/>
              <w:jc w:val="both"/>
              <w:rPr>
                <w:szCs w:val="30"/>
              </w:rPr>
            </w:pPr>
            <w:r w:rsidRPr="00204EDC">
              <w:rPr>
                <w:szCs w:val="30"/>
              </w:rPr>
              <w:t>Также обращаем внимание на некоторые некорректные положения документа.</w:t>
            </w:r>
          </w:p>
          <w:p w:rsidR="00EA2055" w:rsidRPr="00204EDC" w:rsidRDefault="00EA2055" w:rsidP="00EA2055">
            <w:pPr>
              <w:jc w:val="both"/>
              <w:rPr>
                <w:szCs w:val="30"/>
              </w:rPr>
            </w:pPr>
            <w:r w:rsidRPr="00204EDC">
              <w:rPr>
                <w:szCs w:val="30"/>
              </w:rPr>
              <w:lastRenderedPageBreak/>
              <w:tab/>
              <w:t>Так в пункте 1 «Область применения» дается название структурного подразделения ЕААС «Комиссия по жалобам и апелляциям (далее –Комиссия».</w:t>
            </w:r>
          </w:p>
          <w:p w:rsidR="00EA2055" w:rsidRPr="00204EDC" w:rsidRDefault="00EA2055" w:rsidP="00EA2055">
            <w:pPr>
              <w:jc w:val="both"/>
              <w:rPr>
                <w:szCs w:val="30"/>
              </w:rPr>
            </w:pPr>
            <w:r w:rsidRPr="00204EDC">
              <w:rPr>
                <w:szCs w:val="30"/>
              </w:rPr>
              <w:tab/>
              <w:t>В то же время в пункте 4.3 указывается, что Председателем ЕААС формируется Комиссия по отдельным жалобам/апелляциям и далее по тексту употребляется слово «Комиссия».</w:t>
            </w:r>
          </w:p>
          <w:p w:rsidR="00EA2055" w:rsidRPr="00204EDC" w:rsidRDefault="00EA2055" w:rsidP="00EA2055">
            <w:pPr>
              <w:jc w:val="both"/>
              <w:rPr>
                <w:szCs w:val="30"/>
              </w:rPr>
            </w:pPr>
            <w:r w:rsidRPr="00204EDC">
              <w:rPr>
                <w:szCs w:val="30"/>
              </w:rPr>
              <w:tab/>
            </w:r>
          </w:p>
          <w:p w:rsidR="00EA2055" w:rsidRDefault="00EA2055" w:rsidP="00EA2055">
            <w:pPr>
              <w:jc w:val="both"/>
            </w:pPr>
            <w:r w:rsidRPr="00204EDC">
              <w:rPr>
                <w:szCs w:val="30"/>
              </w:rPr>
              <w:tab/>
            </w:r>
          </w:p>
        </w:tc>
        <w:tc>
          <w:tcPr>
            <w:tcW w:w="5634" w:type="dxa"/>
          </w:tcPr>
          <w:p w:rsidR="005D1035" w:rsidRDefault="00180EF1" w:rsidP="001402EF">
            <w:pPr>
              <w:rPr>
                <w:lang w:val="ky-KG"/>
              </w:rPr>
            </w:pPr>
            <w:r>
              <w:rPr>
                <w:lang w:val="ky-KG"/>
              </w:rPr>
              <w:lastRenderedPageBreak/>
              <w:t>Слово – процесс удалено</w:t>
            </w:r>
            <w:r w:rsidR="005D1035">
              <w:rPr>
                <w:lang w:val="ky-KG"/>
              </w:rPr>
              <w:t xml:space="preserve">. </w:t>
            </w:r>
          </w:p>
          <w:p w:rsidR="001402EF" w:rsidRDefault="001402EF" w:rsidP="001402EF">
            <w:pPr>
              <w:rPr>
                <w:color w:val="0070C0"/>
                <w:lang w:eastAsia="x-none"/>
              </w:rPr>
            </w:pPr>
          </w:p>
          <w:p w:rsidR="001402EF" w:rsidRDefault="001402EF" w:rsidP="001402EF">
            <w:pPr>
              <w:rPr>
                <w:color w:val="0070C0"/>
                <w:lang w:eastAsia="x-none"/>
              </w:rPr>
            </w:pPr>
          </w:p>
          <w:p w:rsidR="001402EF" w:rsidRDefault="001402EF" w:rsidP="001402EF">
            <w:pPr>
              <w:rPr>
                <w:color w:val="0070C0"/>
                <w:lang w:eastAsia="x-none"/>
              </w:rPr>
            </w:pPr>
          </w:p>
          <w:p w:rsidR="001402EF" w:rsidRDefault="001402EF" w:rsidP="001402EF">
            <w:pPr>
              <w:rPr>
                <w:color w:val="0070C0"/>
                <w:lang w:eastAsia="x-none"/>
              </w:rPr>
            </w:pPr>
          </w:p>
          <w:p w:rsidR="001402EF" w:rsidRPr="00726DE4" w:rsidRDefault="001402EF" w:rsidP="001402EF">
            <w:pPr>
              <w:rPr>
                <w:color w:val="0070C0"/>
                <w:lang w:eastAsia="x-none"/>
              </w:rPr>
            </w:pPr>
          </w:p>
          <w:p w:rsidR="005D1035" w:rsidRPr="005D1035" w:rsidRDefault="005D1035" w:rsidP="00EA2055"/>
          <w:p w:rsidR="00BF297E" w:rsidRDefault="00BF297E" w:rsidP="00EA2055">
            <w:pPr>
              <w:rPr>
                <w:lang w:val="ky-KG"/>
              </w:rPr>
            </w:pPr>
          </w:p>
          <w:p w:rsidR="00180EF1" w:rsidRDefault="00180EF1" w:rsidP="00EA2055">
            <w:pPr>
              <w:rPr>
                <w:lang w:val="ky-KG"/>
              </w:rPr>
            </w:pPr>
            <w:r>
              <w:rPr>
                <w:lang w:val="ky-KG"/>
              </w:rPr>
              <w:t xml:space="preserve">Принято, исправлено  </w:t>
            </w:r>
          </w:p>
          <w:p w:rsidR="00180EF1" w:rsidRDefault="00180EF1" w:rsidP="00EA2055">
            <w:pPr>
              <w:rPr>
                <w:lang w:val="ky-KG"/>
              </w:rPr>
            </w:pPr>
          </w:p>
          <w:p w:rsidR="00180EF1" w:rsidRDefault="00180EF1" w:rsidP="00EA2055">
            <w:pPr>
              <w:rPr>
                <w:lang w:val="ky-KG"/>
              </w:rPr>
            </w:pPr>
          </w:p>
          <w:p w:rsidR="00BF297E" w:rsidRDefault="00BF297E" w:rsidP="00EA2055">
            <w:pPr>
              <w:rPr>
                <w:lang w:val="ky-KG"/>
              </w:rPr>
            </w:pPr>
          </w:p>
          <w:p w:rsidR="00BF297E" w:rsidRDefault="00BF297E" w:rsidP="00EA2055">
            <w:pPr>
              <w:rPr>
                <w:lang w:val="ky-KG"/>
              </w:rPr>
            </w:pPr>
          </w:p>
          <w:p w:rsidR="00BF297E" w:rsidRDefault="00BF297E" w:rsidP="00EA2055">
            <w:pPr>
              <w:rPr>
                <w:lang w:val="ky-KG"/>
              </w:rPr>
            </w:pPr>
            <w:r>
              <w:rPr>
                <w:lang w:val="ky-KG"/>
              </w:rPr>
              <w:t>Принято</w:t>
            </w:r>
            <w:r w:rsidR="00D05A9A">
              <w:rPr>
                <w:lang w:val="ky-KG"/>
              </w:rPr>
              <w:t>. Введены сокращения</w:t>
            </w:r>
            <w:r>
              <w:rPr>
                <w:lang w:val="ky-KG"/>
              </w:rPr>
              <w:t xml:space="preserve"> </w:t>
            </w:r>
          </w:p>
          <w:p w:rsidR="00BF297E" w:rsidRDefault="00BF297E" w:rsidP="00EA2055">
            <w:pPr>
              <w:rPr>
                <w:lang w:val="ky-KG"/>
              </w:rPr>
            </w:pPr>
          </w:p>
          <w:p w:rsidR="00BF297E" w:rsidRDefault="00BF297E" w:rsidP="00EA2055">
            <w:pPr>
              <w:rPr>
                <w:lang w:val="ky-KG"/>
              </w:rPr>
            </w:pPr>
          </w:p>
          <w:p w:rsidR="00BF297E" w:rsidRDefault="00BF297E" w:rsidP="00EA2055">
            <w:pPr>
              <w:rPr>
                <w:lang w:val="ky-KG"/>
              </w:rPr>
            </w:pPr>
          </w:p>
          <w:p w:rsidR="00BF297E" w:rsidRDefault="00BF297E" w:rsidP="00EA2055">
            <w:pPr>
              <w:rPr>
                <w:lang w:val="ky-KG"/>
              </w:rPr>
            </w:pPr>
          </w:p>
          <w:p w:rsidR="00BF297E" w:rsidRDefault="00BF297E" w:rsidP="00EA2055">
            <w:pPr>
              <w:rPr>
                <w:lang w:val="ky-KG"/>
              </w:rPr>
            </w:pPr>
          </w:p>
          <w:p w:rsidR="00BF297E" w:rsidRDefault="00BF297E" w:rsidP="00EA2055">
            <w:pPr>
              <w:rPr>
                <w:lang w:val="ky-KG"/>
              </w:rPr>
            </w:pPr>
          </w:p>
          <w:p w:rsidR="00BF297E" w:rsidRDefault="00BF297E" w:rsidP="00EA2055">
            <w:pPr>
              <w:rPr>
                <w:lang w:val="ky-KG"/>
              </w:rPr>
            </w:pPr>
          </w:p>
          <w:p w:rsidR="00BF297E" w:rsidRDefault="00BF297E" w:rsidP="00EA2055">
            <w:pPr>
              <w:rPr>
                <w:lang w:val="ky-KG"/>
              </w:rPr>
            </w:pPr>
          </w:p>
          <w:p w:rsidR="00BF297E" w:rsidRDefault="00BF297E" w:rsidP="00EA2055">
            <w:pPr>
              <w:rPr>
                <w:lang w:val="ky-KG"/>
              </w:rPr>
            </w:pPr>
            <w:r>
              <w:rPr>
                <w:lang w:val="ky-KG"/>
              </w:rPr>
              <w:lastRenderedPageBreak/>
              <w:t xml:space="preserve">Принято, пункт изложен – </w:t>
            </w:r>
          </w:p>
          <w:p w:rsidR="00BF297E" w:rsidRPr="00B73FD3" w:rsidRDefault="00BF297E" w:rsidP="00E41591">
            <w:pPr>
              <w:tabs>
                <w:tab w:val="right" w:pos="9639"/>
              </w:tabs>
              <w:spacing w:line="360" w:lineRule="auto"/>
              <w:ind w:firstLine="709"/>
              <w:jc w:val="both"/>
              <w:rPr>
                <w:lang w:val="ky-KG"/>
              </w:rPr>
            </w:pPr>
            <w:bookmarkStart w:id="2" w:name="_Hlk72224546"/>
            <w:r w:rsidRPr="00BF297E">
              <w:rPr>
                <w:color w:val="0070C0"/>
                <w:lang w:eastAsia="x-none"/>
              </w:rPr>
              <w:t>Настоящая процедура устанавливает общие положения и порядок рассмотрения жалоб и апелляций Евразийского сотрудничества по аккредитации</w:t>
            </w:r>
            <w:r w:rsidR="00744887">
              <w:rPr>
                <w:color w:val="0070C0"/>
                <w:lang w:val="ky-KG" w:eastAsia="x-none"/>
              </w:rPr>
              <w:t xml:space="preserve">, </w:t>
            </w:r>
            <w:r w:rsidRPr="00BF297E">
              <w:rPr>
                <w:color w:val="0070C0"/>
                <w:lang w:eastAsia="x-none"/>
              </w:rPr>
              <w:t>организации работ</w:t>
            </w:r>
            <w:r w:rsidR="00744887">
              <w:rPr>
                <w:color w:val="0070C0"/>
                <w:lang w:val="ky-KG" w:eastAsia="x-none"/>
              </w:rPr>
              <w:t>, ответственности и обязанности</w:t>
            </w:r>
            <w:r w:rsidRPr="00BF297E">
              <w:rPr>
                <w:color w:val="0070C0"/>
                <w:lang w:val="ky-KG" w:eastAsia="x-none"/>
              </w:rPr>
              <w:t>.</w:t>
            </w:r>
            <w:r w:rsidRPr="00BF297E">
              <w:rPr>
                <w:color w:val="0070C0"/>
                <w:lang w:eastAsia="x-none"/>
              </w:rPr>
              <w:t xml:space="preserve"> </w:t>
            </w:r>
            <w:bookmarkEnd w:id="2"/>
          </w:p>
        </w:tc>
      </w:tr>
      <w:tr w:rsidR="00E41591" w:rsidRPr="00487F70" w:rsidTr="00513A0A">
        <w:tc>
          <w:tcPr>
            <w:tcW w:w="1878" w:type="dxa"/>
          </w:tcPr>
          <w:p w:rsidR="00E41591" w:rsidRDefault="00E41591" w:rsidP="00E41591">
            <w:pPr>
              <w:jc w:val="center"/>
            </w:pPr>
          </w:p>
        </w:tc>
        <w:tc>
          <w:tcPr>
            <w:tcW w:w="3357" w:type="dxa"/>
          </w:tcPr>
          <w:p w:rsidR="00E41591" w:rsidRPr="002231B3" w:rsidRDefault="00E41591" w:rsidP="00E41591">
            <w:pPr>
              <w:shd w:val="clear" w:color="auto" w:fill="FFFFFF"/>
              <w:spacing w:before="100" w:beforeAutospacing="1" w:after="100" w:afterAutospacing="1"/>
            </w:pPr>
          </w:p>
        </w:tc>
        <w:tc>
          <w:tcPr>
            <w:tcW w:w="4407" w:type="dxa"/>
          </w:tcPr>
          <w:p w:rsidR="00E41591" w:rsidRPr="00204EDC" w:rsidRDefault="00E41591" w:rsidP="00E41591">
            <w:pPr>
              <w:jc w:val="both"/>
              <w:rPr>
                <w:szCs w:val="30"/>
              </w:rPr>
            </w:pPr>
            <w:r w:rsidRPr="00204EDC">
              <w:rPr>
                <w:szCs w:val="30"/>
              </w:rPr>
              <w:t>По нашему мнению, имеются также противоре</w:t>
            </w:r>
            <w:r>
              <w:rPr>
                <w:szCs w:val="30"/>
              </w:rPr>
              <w:t xml:space="preserve">чия в текстах подпунктов 4.1 и </w:t>
            </w:r>
            <w:r w:rsidRPr="00204EDC">
              <w:rPr>
                <w:szCs w:val="30"/>
              </w:rPr>
              <w:t>4.1.1.</w:t>
            </w:r>
          </w:p>
          <w:p w:rsidR="00E41591" w:rsidRPr="00204EDC" w:rsidRDefault="00E41591" w:rsidP="00E41591">
            <w:pPr>
              <w:jc w:val="both"/>
              <w:rPr>
                <w:szCs w:val="30"/>
              </w:rPr>
            </w:pPr>
            <w:r w:rsidRPr="00204EDC">
              <w:rPr>
                <w:szCs w:val="30"/>
              </w:rPr>
              <w:tab/>
              <w:t>В подпункте 4.1 говорится, что поступившая жалоба/апе</w:t>
            </w:r>
            <w:r>
              <w:rPr>
                <w:szCs w:val="30"/>
              </w:rPr>
              <w:t xml:space="preserve">лляция </w:t>
            </w:r>
            <w:r w:rsidRPr="00204EDC">
              <w:rPr>
                <w:szCs w:val="30"/>
              </w:rPr>
              <w:t>передается на рассмотрение Комиссии по жалобам и апелляциям ЕААС, а в подпункте 4.1.1 говорится, что жалоба/апелляция направляется Председателю ЕААС. Видимо, следует конкретизировать, какие апелляции/жалобы после регистрации направляются в Комиссию, и какие непосредственно Председателю.</w:t>
            </w:r>
          </w:p>
          <w:p w:rsidR="00E41591" w:rsidRDefault="00E41591" w:rsidP="00E41591">
            <w:pPr>
              <w:ind w:firstLine="708"/>
              <w:jc w:val="both"/>
            </w:pPr>
            <w:r>
              <w:rPr>
                <w:szCs w:val="30"/>
              </w:rPr>
              <w:t xml:space="preserve">Считаем целесообразным, при подготовке документа учесть требования, изложенные в </w:t>
            </w:r>
            <w:r w:rsidRPr="00AC153D">
              <w:rPr>
                <w:szCs w:val="30"/>
              </w:rPr>
              <w:t xml:space="preserve">ИСО 10002:2018 "Менеджмент качества - Удовлетворенность клиентов - Руководство по рассмотрению жалоб в </w:t>
            </w:r>
            <w:r w:rsidRPr="00AC153D">
              <w:rPr>
                <w:szCs w:val="30"/>
              </w:rPr>
              <w:lastRenderedPageBreak/>
              <w:t>организациях"</w:t>
            </w:r>
            <w:r>
              <w:rPr>
                <w:szCs w:val="30"/>
              </w:rPr>
              <w:t>.</w:t>
            </w:r>
          </w:p>
          <w:p w:rsidR="00E41591" w:rsidRDefault="00E41591" w:rsidP="00E41591">
            <w:pPr>
              <w:autoSpaceDE w:val="0"/>
              <w:autoSpaceDN w:val="0"/>
              <w:adjustRightInd w:val="0"/>
              <w:jc w:val="both"/>
            </w:pPr>
          </w:p>
        </w:tc>
        <w:tc>
          <w:tcPr>
            <w:tcW w:w="5634" w:type="dxa"/>
          </w:tcPr>
          <w:p w:rsidR="00E41591" w:rsidRPr="00F83CDD" w:rsidRDefault="00E41591" w:rsidP="00E41591">
            <w:pPr>
              <w:tabs>
                <w:tab w:val="right" w:pos="9639"/>
              </w:tabs>
              <w:spacing w:line="360" w:lineRule="auto"/>
              <w:ind w:firstLine="709"/>
              <w:jc w:val="both"/>
              <w:rPr>
                <w:lang w:val="ky-KG"/>
              </w:rPr>
            </w:pPr>
            <w:r>
              <w:rPr>
                <w:lang w:val="ky-KG"/>
              </w:rPr>
              <w:lastRenderedPageBreak/>
              <w:t>Принято . Изложено в редакции:</w:t>
            </w:r>
          </w:p>
          <w:p w:rsidR="00E41591" w:rsidRPr="00FC6FF9" w:rsidRDefault="00E41591" w:rsidP="00E41591">
            <w:pPr>
              <w:tabs>
                <w:tab w:val="right" w:pos="9639"/>
              </w:tabs>
              <w:spacing w:line="360" w:lineRule="auto"/>
              <w:ind w:firstLine="709"/>
              <w:jc w:val="both"/>
              <w:rPr>
                <w:color w:val="0070C0"/>
              </w:rPr>
            </w:pPr>
            <w:r w:rsidRPr="006979E6">
              <w:t>4.1.1 Жалоба/апелляция на деятельность, политику и/или процедуры</w:t>
            </w:r>
            <w:r w:rsidRPr="009244AE">
              <w:rPr>
                <w:color w:val="FF0000"/>
              </w:rPr>
              <w:t xml:space="preserve"> </w:t>
            </w:r>
            <w:r w:rsidRPr="00920648">
              <w:t>ЕААС</w:t>
            </w:r>
            <w:r>
              <w:rPr>
                <w:lang w:val="ky-KG"/>
              </w:rPr>
              <w:t xml:space="preserve">, </w:t>
            </w:r>
            <w:r w:rsidRPr="00027AAF">
              <w:rPr>
                <w:color w:val="0070C0"/>
              </w:rPr>
              <w:t xml:space="preserve">а также повторные жалобы/апелляции на деятельность Участника ЕААС направляются непосредственно </w:t>
            </w:r>
            <w:r w:rsidRPr="00027AAF">
              <w:rPr>
                <w:color w:val="0070C0"/>
                <w:u w:val="single"/>
              </w:rPr>
              <w:t>Председателю ЕААС.</w:t>
            </w:r>
          </w:p>
          <w:p w:rsidR="00E41591" w:rsidRPr="00027AAF" w:rsidRDefault="00E41591" w:rsidP="00E41591">
            <w:pPr>
              <w:autoSpaceDE w:val="0"/>
              <w:autoSpaceDN w:val="0"/>
              <w:adjustRightInd w:val="0"/>
              <w:spacing w:line="360" w:lineRule="auto"/>
              <w:ind w:firstLine="709"/>
              <w:jc w:val="both"/>
              <w:rPr>
                <w:color w:val="0070C0"/>
                <w:lang w:val="ky-KG"/>
              </w:rPr>
            </w:pPr>
            <w:r w:rsidRPr="006979E6">
              <w:t>4.1.2 Жалоба</w:t>
            </w:r>
            <w:r w:rsidRPr="00027AAF">
              <w:rPr>
                <w:color w:val="0070C0"/>
              </w:rPr>
              <w:t xml:space="preserve">/апелляция </w:t>
            </w:r>
            <w:r w:rsidRPr="006979E6">
              <w:t>на деятельность Участника</w:t>
            </w:r>
            <w:r w:rsidRPr="00F07919">
              <w:rPr>
                <w:color w:val="FF0000"/>
              </w:rPr>
              <w:t xml:space="preserve"> </w:t>
            </w:r>
            <w:r w:rsidRPr="00920648">
              <w:t xml:space="preserve">ЕААС </w:t>
            </w:r>
            <w:r w:rsidRPr="00027AAF">
              <w:rPr>
                <w:color w:val="0070C0"/>
                <w:lang w:val="ky-KG"/>
              </w:rPr>
              <w:t>первоначально</w:t>
            </w:r>
            <w:r>
              <w:rPr>
                <w:lang w:val="ky-KG"/>
              </w:rPr>
              <w:t xml:space="preserve"> </w:t>
            </w:r>
            <w:r w:rsidRPr="002D2334">
              <w:t>направляется для рассмотрения непосредственно Участнику</w:t>
            </w:r>
            <w:r w:rsidRPr="002D2334">
              <w:rPr>
                <w:color w:val="FF0000"/>
              </w:rPr>
              <w:t xml:space="preserve"> </w:t>
            </w:r>
            <w:r w:rsidRPr="002D2334">
              <w:t>ЕААС, в соответствии с национальным законодательством страны, которую представляет Участник</w:t>
            </w:r>
            <w:r w:rsidRPr="002D2334">
              <w:rPr>
                <w:color w:val="FF0000"/>
              </w:rPr>
              <w:t xml:space="preserve"> </w:t>
            </w:r>
            <w:r w:rsidRPr="002D2334">
              <w:t>ЕААС.</w:t>
            </w:r>
            <w:r w:rsidRPr="002D2334">
              <w:rPr>
                <w:color w:val="FF0000"/>
              </w:rPr>
              <w:t xml:space="preserve"> </w:t>
            </w:r>
            <w:r w:rsidRPr="002D2334">
              <w:t>Если податель жалобы</w:t>
            </w:r>
            <w:r w:rsidRPr="00027AAF">
              <w:rPr>
                <w:color w:val="0070C0"/>
              </w:rPr>
              <w:t xml:space="preserve">/апелляции </w:t>
            </w:r>
            <w:r w:rsidRPr="002D2334">
              <w:t xml:space="preserve">не удовлетворен тем, что процедура рассмотрения жалобы </w:t>
            </w:r>
            <w:r w:rsidRPr="002D2334">
              <w:lastRenderedPageBreak/>
              <w:t>Участником</w:t>
            </w:r>
            <w:r w:rsidRPr="002D2334">
              <w:rPr>
                <w:color w:val="FF0000"/>
              </w:rPr>
              <w:t xml:space="preserve"> </w:t>
            </w:r>
            <w:r w:rsidRPr="002D2334">
              <w:t>ЕААС</w:t>
            </w:r>
            <w:r w:rsidRPr="002D2334">
              <w:rPr>
                <w:color w:val="FF0000"/>
              </w:rPr>
              <w:t xml:space="preserve"> </w:t>
            </w:r>
            <w:r w:rsidRPr="002D2334">
              <w:tab/>
              <w:t>была соблюдена, то податель жалобы</w:t>
            </w:r>
            <w:r w:rsidRPr="00027AAF">
              <w:rPr>
                <w:color w:val="0070C0"/>
              </w:rPr>
              <w:t xml:space="preserve">/апелляции  </w:t>
            </w:r>
            <w:r w:rsidRPr="002D2334">
              <w:t>может подать повторную жалобу</w:t>
            </w:r>
            <w:r w:rsidRPr="00027AAF">
              <w:rPr>
                <w:color w:val="0070C0"/>
              </w:rPr>
              <w:t xml:space="preserve">/апелляцию </w:t>
            </w:r>
            <w:r w:rsidRPr="002D2334">
              <w:t>в</w:t>
            </w:r>
            <w:r w:rsidRPr="002D2334">
              <w:rPr>
                <w:color w:val="FF0000"/>
              </w:rPr>
              <w:t xml:space="preserve"> </w:t>
            </w:r>
            <w:r w:rsidRPr="002D2334">
              <w:t>ЕААС</w:t>
            </w:r>
            <w:r w:rsidRPr="002D2334">
              <w:rPr>
                <w:color w:val="FF0000"/>
              </w:rPr>
              <w:t xml:space="preserve"> </w:t>
            </w:r>
            <w:r w:rsidRPr="002D2334">
              <w:t>в соответствии с пунктом 3.</w:t>
            </w:r>
            <w:r>
              <w:rPr>
                <w:lang w:val="ky-KG"/>
              </w:rPr>
              <w:t>3</w:t>
            </w:r>
            <w:r w:rsidRPr="002D2334">
              <w:t xml:space="preserve"> </w:t>
            </w:r>
            <w:r w:rsidRPr="00027AAF">
              <w:rPr>
                <w:color w:val="0070C0"/>
              </w:rPr>
              <w:t>настоящего</w:t>
            </w:r>
            <w:r w:rsidRPr="002D2334">
              <w:t xml:space="preserve"> документ</w:t>
            </w:r>
            <w:r w:rsidRPr="00203CDE">
              <w:t>а.</w:t>
            </w:r>
            <w:r w:rsidRPr="00203CDE">
              <w:rPr>
                <w:color w:val="00B0F0"/>
                <w:lang w:val="ky-KG"/>
              </w:rPr>
              <w:t xml:space="preserve"> </w:t>
            </w:r>
            <w:r w:rsidRPr="00027AAF">
              <w:rPr>
                <w:color w:val="0070C0"/>
                <w:lang w:val="ky-KG"/>
              </w:rPr>
              <w:t>Обязанностью подателя жалобы</w:t>
            </w:r>
            <w:r w:rsidRPr="00027AAF">
              <w:rPr>
                <w:color w:val="0070C0"/>
              </w:rPr>
              <w:t>/апелляции</w:t>
            </w:r>
            <w:r w:rsidRPr="00027AAF">
              <w:rPr>
                <w:color w:val="0070C0"/>
                <w:lang w:val="ky-KG"/>
              </w:rPr>
              <w:t xml:space="preserve"> является предоставление ЕААС соответствующей документации, которая продемонстрирует, что жалоба уже представлена на рассмотрение по процедуре рассмотрения жалоб/апелляций самого участника ЕААС.</w:t>
            </w:r>
          </w:p>
          <w:p w:rsidR="00E41591" w:rsidRPr="0001229D" w:rsidRDefault="00E41591" w:rsidP="00E41591">
            <w:pPr>
              <w:autoSpaceDE w:val="0"/>
              <w:autoSpaceDN w:val="0"/>
              <w:adjustRightInd w:val="0"/>
              <w:jc w:val="both"/>
              <w:rPr>
                <w:color w:val="0070C0"/>
                <w:lang w:val="ky-KG"/>
              </w:rPr>
            </w:pPr>
          </w:p>
        </w:tc>
      </w:tr>
    </w:tbl>
    <w:p w:rsidR="00D519C0" w:rsidRPr="00487F70" w:rsidRDefault="00D519C0" w:rsidP="00D519C0">
      <w:pPr>
        <w:jc w:val="center"/>
        <w:rPr>
          <w:sz w:val="28"/>
          <w:szCs w:val="28"/>
        </w:rPr>
      </w:pPr>
    </w:p>
    <w:p w:rsidR="00202C3B" w:rsidRPr="00487F70" w:rsidRDefault="00202C3B"/>
    <w:sectPr w:rsidR="00202C3B" w:rsidRPr="00487F70" w:rsidSect="0098705D">
      <w:footerReference w:type="default" r:id="rId8"/>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0DDF" w:rsidRDefault="000F0DDF" w:rsidP="007E552B">
      <w:r>
        <w:separator/>
      </w:r>
    </w:p>
  </w:endnote>
  <w:endnote w:type="continuationSeparator" w:id="0">
    <w:p w:rsidR="000F0DDF" w:rsidRDefault="000F0DDF" w:rsidP="007E5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18606"/>
      <w:docPartObj>
        <w:docPartGallery w:val="Page Numbers (Bottom of Page)"/>
        <w:docPartUnique/>
      </w:docPartObj>
    </w:sdtPr>
    <w:sdtEndPr/>
    <w:sdtContent>
      <w:p w:rsidR="00FC6FF9" w:rsidRDefault="00FC6FF9">
        <w:pPr>
          <w:pStyle w:val="a9"/>
        </w:pPr>
        <w:r>
          <w:fldChar w:fldCharType="begin"/>
        </w:r>
        <w:r>
          <w:instrText>PAGE   \* MERGEFORMAT</w:instrText>
        </w:r>
        <w:r>
          <w:fldChar w:fldCharType="separate"/>
        </w:r>
        <w:r w:rsidR="00A35583">
          <w:rPr>
            <w:noProof/>
          </w:rPr>
          <w:t>1</w:t>
        </w:r>
        <w:r>
          <w:fldChar w:fldCharType="end"/>
        </w:r>
      </w:p>
    </w:sdtContent>
  </w:sdt>
  <w:p w:rsidR="00FC6FF9" w:rsidRDefault="00FC6FF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0DDF" w:rsidRDefault="000F0DDF" w:rsidP="007E552B">
      <w:r>
        <w:separator/>
      </w:r>
    </w:p>
  </w:footnote>
  <w:footnote w:type="continuationSeparator" w:id="0">
    <w:p w:rsidR="000F0DDF" w:rsidRDefault="000F0DDF" w:rsidP="007E55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983D55"/>
    <w:multiLevelType w:val="hybridMultilevel"/>
    <w:tmpl w:val="CC9AE4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4D6655E"/>
    <w:multiLevelType w:val="multilevel"/>
    <w:tmpl w:val="A1329FFA"/>
    <w:lvl w:ilvl="0">
      <w:start w:val="7"/>
      <w:numFmt w:val="decimal"/>
      <w:lvlText w:val="%1."/>
      <w:lvlJc w:val="left"/>
      <w:pPr>
        <w:ind w:left="644" w:hanging="360"/>
      </w:pPr>
      <w:rPr>
        <w:rFonts w:hint="default"/>
      </w:rPr>
    </w:lvl>
    <w:lvl w:ilvl="1">
      <w:start w:val="1"/>
      <w:numFmt w:val="decimal"/>
      <w:isLgl/>
      <w:lvlText w:val="%1.%2"/>
      <w:lvlJc w:val="left"/>
      <w:pPr>
        <w:ind w:left="1276" w:hanging="360"/>
      </w:pPr>
      <w:rPr>
        <w:rFonts w:hint="default"/>
      </w:rPr>
    </w:lvl>
    <w:lvl w:ilvl="2">
      <w:start w:val="1"/>
      <w:numFmt w:val="decimal"/>
      <w:isLgl/>
      <w:lvlText w:val="%1.%2.%3"/>
      <w:lvlJc w:val="left"/>
      <w:pPr>
        <w:ind w:left="2268" w:hanging="720"/>
      </w:pPr>
      <w:rPr>
        <w:rFonts w:hint="default"/>
      </w:rPr>
    </w:lvl>
    <w:lvl w:ilvl="3">
      <w:start w:val="1"/>
      <w:numFmt w:val="decimal"/>
      <w:isLgl/>
      <w:lvlText w:val="%1.%2.%3.%4"/>
      <w:lvlJc w:val="left"/>
      <w:pPr>
        <w:ind w:left="2900" w:hanging="720"/>
      </w:pPr>
      <w:rPr>
        <w:rFonts w:hint="default"/>
      </w:rPr>
    </w:lvl>
    <w:lvl w:ilvl="4">
      <w:start w:val="1"/>
      <w:numFmt w:val="decimal"/>
      <w:isLgl/>
      <w:lvlText w:val="%1.%2.%3.%4.%5"/>
      <w:lvlJc w:val="left"/>
      <w:pPr>
        <w:ind w:left="3892" w:hanging="1080"/>
      </w:pPr>
      <w:rPr>
        <w:rFonts w:hint="default"/>
      </w:rPr>
    </w:lvl>
    <w:lvl w:ilvl="5">
      <w:start w:val="1"/>
      <w:numFmt w:val="decimal"/>
      <w:isLgl/>
      <w:lvlText w:val="%1.%2.%3.%4.%5.%6"/>
      <w:lvlJc w:val="left"/>
      <w:pPr>
        <w:ind w:left="4524" w:hanging="1080"/>
      </w:pPr>
      <w:rPr>
        <w:rFonts w:hint="default"/>
      </w:rPr>
    </w:lvl>
    <w:lvl w:ilvl="6">
      <w:start w:val="1"/>
      <w:numFmt w:val="decimal"/>
      <w:isLgl/>
      <w:lvlText w:val="%1.%2.%3.%4.%5.%6.%7"/>
      <w:lvlJc w:val="left"/>
      <w:pPr>
        <w:ind w:left="5516" w:hanging="1440"/>
      </w:pPr>
      <w:rPr>
        <w:rFonts w:hint="default"/>
      </w:rPr>
    </w:lvl>
    <w:lvl w:ilvl="7">
      <w:start w:val="1"/>
      <w:numFmt w:val="decimal"/>
      <w:isLgl/>
      <w:lvlText w:val="%1.%2.%3.%4.%5.%6.%7.%8"/>
      <w:lvlJc w:val="left"/>
      <w:pPr>
        <w:ind w:left="6148" w:hanging="1440"/>
      </w:pPr>
      <w:rPr>
        <w:rFonts w:hint="default"/>
      </w:rPr>
    </w:lvl>
    <w:lvl w:ilvl="8">
      <w:start w:val="1"/>
      <w:numFmt w:val="decimal"/>
      <w:isLgl/>
      <w:lvlText w:val="%1.%2.%3.%4.%5.%6.%7.%8.%9"/>
      <w:lvlJc w:val="left"/>
      <w:pPr>
        <w:ind w:left="7140" w:hanging="1800"/>
      </w:pPr>
      <w:rPr>
        <w:rFonts w:hint="default"/>
      </w:rPr>
    </w:lvl>
  </w:abstractNum>
  <w:abstractNum w:abstractNumId="2" w15:restartNumberingAfterBreak="0">
    <w:nsid w:val="48744C66"/>
    <w:multiLevelType w:val="multilevel"/>
    <w:tmpl w:val="92FC39C8"/>
    <w:lvl w:ilvl="0">
      <w:start w:val="1"/>
      <w:numFmt w:val="decimal"/>
      <w:lvlText w:val="%1"/>
      <w:lvlJc w:val="left"/>
      <w:pPr>
        <w:ind w:left="644" w:hanging="360"/>
      </w:pPr>
      <w:rPr>
        <w:rFonts w:hint="default"/>
      </w:rPr>
    </w:lvl>
    <w:lvl w:ilvl="1">
      <w:start w:val="1"/>
      <w:numFmt w:val="decimal"/>
      <w:isLgl/>
      <w:lvlText w:val="%1.%2"/>
      <w:lvlJc w:val="left"/>
      <w:pPr>
        <w:ind w:left="1996" w:hanging="1080"/>
      </w:pPr>
      <w:rPr>
        <w:rFonts w:hint="default"/>
      </w:rPr>
    </w:lvl>
    <w:lvl w:ilvl="2">
      <w:start w:val="1"/>
      <w:numFmt w:val="decimal"/>
      <w:isLgl/>
      <w:lvlText w:val="%1.%2.%3"/>
      <w:lvlJc w:val="left"/>
      <w:pPr>
        <w:ind w:left="2344" w:hanging="1080"/>
      </w:pPr>
      <w:rPr>
        <w:rFonts w:hint="default"/>
      </w:rPr>
    </w:lvl>
    <w:lvl w:ilvl="3">
      <w:start w:val="1"/>
      <w:numFmt w:val="decimal"/>
      <w:isLgl/>
      <w:lvlText w:val="%1.%2.%3.%4"/>
      <w:lvlJc w:val="left"/>
      <w:pPr>
        <w:ind w:left="2692" w:hanging="1080"/>
      </w:pPr>
      <w:rPr>
        <w:rFonts w:hint="default"/>
      </w:rPr>
    </w:lvl>
    <w:lvl w:ilvl="4">
      <w:start w:val="1"/>
      <w:numFmt w:val="decimal"/>
      <w:isLgl/>
      <w:lvlText w:val="%1.%2.%3.%4.%5"/>
      <w:lvlJc w:val="left"/>
      <w:pPr>
        <w:ind w:left="3040" w:hanging="1080"/>
      </w:pPr>
      <w:rPr>
        <w:rFonts w:hint="default"/>
      </w:rPr>
    </w:lvl>
    <w:lvl w:ilvl="5">
      <w:start w:val="1"/>
      <w:numFmt w:val="decimal"/>
      <w:isLgl/>
      <w:lvlText w:val="%1.%2.%3.%4.%5.%6"/>
      <w:lvlJc w:val="left"/>
      <w:pPr>
        <w:ind w:left="3388" w:hanging="1080"/>
      </w:pPr>
      <w:rPr>
        <w:rFonts w:hint="default"/>
      </w:rPr>
    </w:lvl>
    <w:lvl w:ilvl="6">
      <w:start w:val="1"/>
      <w:numFmt w:val="decimal"/>
      <w:isLgl/>
      <w:lvlText w:val="%1.%2.%3.%4.%5.%6.%7"/>
      <w:lvlJc w:val="left"/>
      <w:pPr>
        <w:ind w:left="4096" w:hanging="1440"/>
      </w:pPr>
      <w:rPr>
        <w:rFonts w:hint="default"/>
      </w:rPr>
    </w:lvl>
    <w:lvl w:ilvl="7">
      <w:start w:val="1"/>
      <w:numFmt w:val="decimal"/>
      <w:isLgl/>
      <w:lvlText w:val="%1.%2.%3.%4.%5.%6.%7.%8"/>
      <w:lvlJc w:val="left"/>
      <w:pPr>
        <w:ind w:left="4444" w:hanging="1440"/>
      </w:pPr>
      <w:rPr>
        <w:rFonts w:hint="default"/>
      </w:rPr>
    </w:lvl>
    <w:lvl w:ilvl="8">
      <w:start w:val="1"/>
      <w:numFmt w:val="decimal"/>
      <w:isLgl/>
      <w:lvlText w:val="%1.%2.%3.%4.%5.%6.%7.%8.%9"/>
      <w:lvlJc w:val="left"/>
      <w:pPr>
        <w:ind w:left="5152" w:hanging="1800"/>
      </w:pPr>
      <w:rPr>
        <w:rFonts w:hint="default"/>
      </w:rPr>
    </w:lvl>
  </w:abstractNum>
  <w:abstractNum w:abstractNumId="3" w15:restartNumberingAfterBreak="0">
    <w:nsid w:val="7C947D7B"/>
    <w:multiLevelType w:val="hybridMultilevel"/>
    <w:tmpl w:val="4ED6C852"/>
    <w:lvl w:ilvl="0" w:tplc="FFFFFFFF">
      <w:start w:val="1"/>
      <w:numFmt w:val="bullet"/>
      <w:lvlText w:val=""/>
      <w:lvlJc w:val="left"/>
      <w:pPr>
        <w:tabs>
          <w:tab w:val="num" w:pos="720"/>
        </w:tabs>
        <w:ind w:left="720" w:hanging="360"/>
      </w:pPr>
      <w:rPr>
        <w:rFonts w:ascii="Symbol" w:hAnsi="Symbol" w:cs="Wingdings" w:hint="default"/>
      </w:rPr>
    </w:lvl>
    <w:lvl w:ilvl="1" w:tplc="FFFFFFFF">
      <w:start w:val="1"/>
      <w:numFmt w:val="bullet"/>
      <w:lvlText w:val="o"/>
      <w:lvlJc w:val="left"/>
      <w:pPr>
        <w:tabs>
          <w:tab w:val="num" w:pos="1440"/>
        </w:tabs>
        <w:ind w:left="1440" w:hanging="360"/>
      </w:pPr>
      <w:rPr>
        <w:rFonts w:ascii="Courier New" w:hAnsi="Courier New" w:cs="Symbol"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Wingdings" w:hint="default"/>
      </w:rPr>
    </w:lvl>
    <w:lvl w:ilvl="4" w:tplc="FFFFFFFF">
      <w:start w:val="1"/>
      <w:numFmt w:val="bullet"/>
      <w:lvlText w:val="o"/>
      <w:lvlJc w:val="left"/>
      <w:pPr>
        <w:tabs>
          <w:tab w:val="num" w:pos="3600"/>
        </w:tabs>
        <w:ind w:left="3600" w:hanging="360"/>
      </w:pPr>
      <w:rPr>
        <w:rFonts w:ascii="Courier New" w:hAnsi="Courier New" w:cs="Symbol"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Wingdings" w:hint="default"/>
      </w:rPr>
    </w:lvl>
    <w:lvl w:ilvl="7" w:tplc="FFFFFFFF">
      <w:start w:val="1"/>
      <w:numFmt w:val="bullet"/>
      <w:lvlText w:val="o"/>
      <w:lvlJc w:val="left"/>
      <w:pPr>
        <w:tabs>
          <w:tab w:val="num" w:pos="5760"/>
        </w:tabs>
        <w:ind w:left="5760" w:hanging="360"/>
      </w:pPr>
      <w:rPr>
        <w:rFonts w:ascii="Courier New" w:hAnsi="Courier New" w:cs="Symbol" w:hint="default"/>
      </w:rPr>
    </w:lvl>
    <w:lvl w:ilvl="8" w:tplc="FFFFFFFF">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623"/>
    <w:rsid w:val="0001229D"/>
    <w:rsid w:val="00020C0C"/>
    <w:rsid w:val="00021E91"/>
    <w:rsid w:val="00027AAF"/>
    <w:rsid w:val="00063468"/>
    <w:rsid w:val="00075BE4"/>
    <w:rsid w:val="0008715A"/>
    <w:rsid w:val="000A6D48"/>
    <w:rsid w:val="000B36EE"/>
    <w:rsid w:val="000D578D"/>
    <w:rsid w:val="000F0DDF"/>
    <w:rsid w:val="001162EB"/>
    <w:rsid w:val="001172A5"/>
    <w:rsid w:val="00137E2D"/>
    <w:rsid w:val="001402EF"/>
    <w:rsid w:val="00147F5E"/>
    <w:rsid w:val="00164A4D"/>
    <w:rsid w:val="00180EF1"/>
    <w:rsid w:val="0018130E"/>
    <w:rsid w:val="00187336"/>
    <w:rsid w:val="001C3E32"/>
    <w:rsid w:val="001E2AFA"/>
    <w:rsid w:val="001E5DE5"/>
    <w:rsid w:val="00202C3B"/>
    <w:rsid w:val="00204152"/>
    <w:rsid w:val="002231B3"/>
    <w:rsid w:val="002353BE"/>
    <w:rsid w:val="00273D5A"/>
    <w:rsid w:val="002B359E"/>
    <w:rsid w:val="002C0F3F"/>
    <w:rsid w:val="002D0A63"/>
    <w:rsid w:val="002D5459"/>
    <w:rsid w:val="002D5994"/>
    <w:rsid w:val="002F5682"/>
    <w:rsid w:val="002F66A7"/>
    <w:rsid w:val="00303421"/>
    <w:rsid w:val="003074E2"/>
    <w:rsid w:val="003236C8"/>
    <w:rsid w:val="00330688"/>
    <w:rsid w:val="00335BF7"/>
    <w:rsid w:val="003423D0"/>
    <w:rsid w:val="00343408"/>
    <w:rsid w:val="00356817"/>
    <w:rsid w:val="003918BD"/>
    <w:rsid w:val="00393058"/>
    <w:rsid w:val="00397DF8"/>
    <w:rsid w:val="003C631E"/>
    <w:rsid w:val="003D5853"/>
    <w:rsid w:val="003E26B6"/>
    <w:rsid w:val="004064F6"/>
    <w:rsid w:val="004357F8"/>
    <w:rsid w:val="00437623"/>
    <w:rsid w:val="00442EDD"/>
    <w:rsid w:val="004567C4"/>
    <w:rsid w:val="004805B5"/>
    <w:rsid w:val="00487F70"/>
    <w:rsid w:val="004B4468"/>
    <w:rsid w:val="004C01DE"/>
    <w:rsid w:val="004C5C06"/>
    <w:rsid w:val="004E172C"/>
    <w:rsid w:val="004E3A42"/>
    <w:rsid w:val="004E57D5"/>
    <w:rsid w:val="004F39D0"/>
    <w:rsid w:val="00503E1D"/>
    <w:rsid w:val="00513A0A"/>
    <w:rsid w:val="0054437C"/>
    <w:rsid w:val="0055464B"/>
    <w:rsid w:val="005554E9"/>
    <w:rsid w:val="005570EE"/>
    <w:rsid w:val="00572585"/>
    <w:rsid w:val="00573698"/>
    <w:rsid w:val="0058015A"/>
    <w:rsid w:val="005814E9"/>
    <w:rsid w:val="00587200"/>
    <w:rsid w:val="005B66B3"/>
    <w:rsid w:val="005C6CF7"/>
    <w:rsid w:val="005D1035"/>
    <w:rsid w:val="005F5759"/>
    <w:rsid w:val="00613CC9"/>
    <w:rsid w:val="00623D23"/>
    <w:rsid w:val="00625C80"/>
    <w:rsid w:val="006609D2"/>
    <w:rsid w:val="00666046"/>
    <w:rsid w:val="00670146"/>
    <w:rsid w:val="00677965"/>
    <w:rsid w:val="00681E6C"/>
    <w:rsid w:val="00697D23"/>
    <w:rsid w:val="006B20D0"/>
    <w:rsid w:val="006B6699"/>
    <w:rsid w:val="006B7E15"/>
    <w:rsid w:val="006D36E9"/>
    <w:rsid w:val="006E6762"/>
    <w:rsid w:val="00706626"/>
    <w:rsid w:val="0070791E"/>
    <w:rsid w:val="00712A08"/>
    <w:rsid w:val="007142FA"/>
    <w:rsid w:val="007154B4"/>
    <w:rsid w:val="00721044"/>
    <w:rsid w:val="0072157D"/>
    <w:rsid w:val="00734F16"/>
    <w:rsid w:val="0074397F"/>
    <w:rsid w:val="00744887"/>
    <w:rsid w:val="0074662C"/>
    <w:rsid w:val="007477BA"/>
    <w:rsid w:val="00751D54"/>
    <w:rsid w:val="00763F5F"/>
    <w:rsid w:val="007B1C0F"/>
    <w:rsid w:val="007B25A1"/>
    <w:rsid w:val="007C1EDC"/>
    <w:rsid w:val="007C3E23"/>
    <w:rsid w:val="007E4CCF"/>
    <w:rsid w:val="007E552B"/>
    <w:rsid w:val="007F50DC"/>
    <w:rsid w:val="0081305F"/>
    <w:rsid w:val="00813D0B"/>
    <w:rsid w:val="008161D4"/>
    <w:rsid w:val="00825D17"/>
    <w:rsid w:val="008348D4"/>
    <w:rsid w:val="00891476"/>
    <w:rsid w:val="00891FA5"/>
    <w:rsid w:val="008A08C3"/>
    <w:rsid w:val="008C3FC7"/>
    <w:rsid w:val="008F29F7"/>
    <w:rsid w:val="00900135"/>
    <w:rsid w:val="0091379F"/>
    <w:rsid w:val="009204D2"/>
    <w:rsid w:val="00925C49"/>
    <w:rsid w:val="009271DE"/>
    <w:rsid w:val="00931EBF"/>
    <w:rsid w:val="0093418F"/>
    <w:rsid w:val="00942033"/>
    <w:rsid w:val="00952A5F"/>
    <w:rsid w:val="00975B05"/>
    <w:rsid w:val="00982FF1"/>
    <w:rsid w:val="0098705D"/>
    <w:rsid w:val="009A1866"/>
    <w:rsid w:val="009B183A"/>
    <w:rsid w:val="009B2C49"/>
    <w:rsid w:val="009E0663"/>
    <w:rsid w:val="009F702A"/>
    <w:rsid w:val="00A00CEA"/>
    <w:rsid w:val="00A22208"/>
    <w:rsid w:val="00A353A1"/>
    <w:rsid w:val="00A35583"/>
    <w:rsid w:val="00A54273"/>
    <w:rsid w:val="00A6321F"/>
    <w:rsid w:val="00A672B8"/>
    <w:rsid w:val="00A75A23"/>
    <w:rsid w:val="00AC04E8"/>
    <w:rsid w:val="00AC0EBD"/>
    <w:rsid w:val="00AE2DCF"/>
    <w:rsid w:val="00AF2E43"/>
    <w:rsid w:val="00B16CD0"/>
    <w:rsid w:val="00B268A3"/>
    <w:rsid w:val="00B26CD7"/>
    <w:rsid w:val="00B30AEE"/>
    <w:rsid w:val="00B30C63"/>
    <w:rsid w:val="00B3262A"/>
    <w:rsid w:val="00B40D1B"/>
    <w:rsid w:val="00B73FD3"/>
    <w:rsid w:val="00B97ECF"/>
    <w:rsid w:val="00BA7A10"/>
    <w:rsid w:val="00BB3621"/>
    <w:rsid w:val="00BC2FB4"/>
    <w:rsid w:val="00BF297E"/>
    <w:rsid w:val="00BF474B"/>
    <w:rsid w:val="00C05DE7"/>
    <w:rsid w:val="00C1403C"/>
    <w:rsid w:val="00C208D5"/>
    <w:rsid w:val="00C33731"/>
    <w:rsid w:val="00C501A3"/>
    <w:rsid w:val="00C65028"/>
    <w:rsid w:val="00C659A8"/>
    <w:rsid w:val="00C773F8"/>
    <w:rsid w:val="00C867C5"/>
    <w:rsid w:val="00C9564E"/>
    <w:rsid w:val="00CB1FE4"/>
    <w:rsid w:val="00CC3FBE"/>
    <w:rsid w:val="00CD0638"/>
    <w:rsid w:val="00CD0B75"/>
    <w:rsid w:val="00CF373F"/>
    <w:rsid w:val="00CF5799"/>
    <w:rsid w:val="00CF775B"/>
    <w:rsid w:val="00D04722"/>
    <w:rsid w:val="00D05A9A"/>
    <w:rsid w:val="00D16E40"/>
    <w:rsid w:val="00D17D0C"/>
    <w:rsid w:val="00D34690"/>
    <w:rsid w:val="00D51378"/>
    <w:rsid w:val="00D519C0"/>
    <w:rsid w:val="00D61D5A"/>
    <w:rsid w:val="00D6420C"/>
    <w:rsid w:val="00D73A20"/>
    <w:rsid w:val="00D74668"/>
    <w:rsid w:val="00D775BB"/>
    <w:rsid w:val="00DA5446"/>
    <w:rsid w:val="00DB08F6"/>
    <w:rsid w:val="00DC41A2"/>
    <w:rsid w:val="00DD391B"/>
    <w:rsid w:val="00DF026F"/>
    <w:rsid w:val="00DF7504"/>
    <w:rsid w:val="00E206A1"/>
    <w:rsid w:val="00E24E86"/>
    <w:rsid w:val="00E33F18"/>
    <w:rsid w:val="00E41591"/>
    <w:rsid w:val="00E47ACA"/>
    <w:rsid w:val="00E57873"/>
    <w:rsid w:val="00E771EF"/>
    <w:rsid w:val="00E93720"/>
    <w:rsid w:val="00EA2055"/>
    <w:rsid w:val="00EB134D"/>
    <w:rsid w:val="00EB7045"/>
    <w:rsid w:val="00EC2FD4"/>
    <w:rsid w:val="00ED1F14"/>
    <w:rsid w:val="00ED77A4"/>
    <w:rsid w:val="00EF2359"/>
    <w:rsid w:val="00F048A1"/>
    <w:rsid w:val="00F317D2"/>
    <w:rsid w:val="00F54F7A"/>
    <w:rsid w:val="00F604A0"/>
    <w:rsid w:val="00F74600"/>
    <w:rsid w:val="00F83CDD"/>
    <w:rsid w:val="00F91ED1"/>
    <w:rsid w:val="00F94CA7"/>
    <w:rsid w:val="00FA7E1D"/>
    <w:rsid w:val="00FC6FF9"/>
    <w:rsid w:val="00FD3790"/>
    <w:rsid w:val="00FD4760"/>
    <w:rsid w:val="00FD7B48"/>
    <w:rsid w:val="00FE1A9C"/>
    <w:rsid w:val="00FE48E8"/>
    <w:rsid w:val="00FE6F23"/>
    <w:rsid w:val="00FF4C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3A9D708-680B-42EE-8946-A70E1C8A9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19C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B1C0F"/>
    <w:pPr>
      <w:keepNext/>
      <w:spacing w:before="240" w:after="60"/>
      <w:outlineLvl w:val="0"/>
    </w:pPr>
    <w:rPr>
      <w:rFonts w:ascii="Arial" w:hAnsi="Arial" w:cs="Arial"/>
      <w:b/>
      <w:bCs/>
      <w:kern w:val="32"/>
      <w:sz w:val="32"/>
      <w:szCs w:val="32"/>
    </w:rPr>
  </w:style>
  <w:style w:type="paragraph" w:styleId="5">
    <w:name w:val="heading 5"/>
    <w:basedOn w:val="a"/>
    <w:next w:val="a"/>
    <w:link w:val="50"/>
    <w:qFormat/>
    <w:rsid w:val="00D519C0"/>
    <w:pPr>
      <w:keepNext/>
      <w:jc w:val="center"/>
      <w:outlineLvl w:val="4"/>
    </w:pPr>
    <w:rPr>
      <w:rFonts w:ascii="Arial" w:hAnsi="Arial"/>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D519C0"/>
    <w:rPr>
      <w:rFonts w:ascii="Arial" w:eastAsia="Times New Roman" w:hAnsi="Arial" w:cs="Times New Roman"/>
      <w:b/>
      <w:sz w:val="32"/>
      <w:szCs w:val="20"/>
      <w:lang w:eastAsia="ru-RU"/>
    </w:rPr>
  </w:style>
  <w:style w:type="table" w:styleId="a3">
    <w:name w:val="Table Grid"/>
    <w:basedOn w:val="a1"/>
    <w:uiPriority w:val="39"/>
    <w:rsid w:val="00D519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3D5853"/>
    <w:pPr>
      <w:spacing w:after="0"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4F39D0"/>
    <w:pPr>
      <w:ind w:left="720"/>
      <w:contextualSpacing/>
    </w:pPr>
  </w:style>
  <w:style w:type="paragraph" w:customStyle="1" w:styleId="a6">
    <w:name w:val="!ТекстРА"/>
    <w:basedOn w:val="3"/>
    <w:qFormat/>
    <w:rsid w:val="004F39D0"/>
    <w:pPr>
      <w:widowControl w:val="0"/>
      <w:spacing w:after="0"/>
      <w:ind w:firstLine="709"/>
      <w:jc w:val="both"/>
    </w:pPr>
    <w:rPr>
      <w:color w:val="000000"/>
      <w:sz w:val="28"/>
      <w:szCs w:val="24"/>
      <w:lang w:val="x-none" w:eastAsia="x-none"/>
    </w:rPr>
  </w:style>
  <w:style w:type="paragraph" w:styleId="3">
    <w:name w:val="Body Text 3"/>
    <w:basedOn w:val="a"/>
    <w:link w:val="30"/>
    <w:uiPriority w:val="99"/>
    <w:semiHidden/>
    <w:unhideWhenUsed/>
    <w:rsid w:val="004F39D0"/>
    <w:pPr>
      <w:spacing w:after="120"/>
    </w:pPr>
    <w:rPr>
      <w:sz w:val="16"/>
      <w:szCs w:val="16"/>
    </w:rPr>
  </w:style>
  <w:style w:type="character" w:customStyle="1" w:styleId="30">
    <w:name w:val="Основной текст 3 Знак"/>
    <w:basedOn w:val="a0"/>
    <w:link w:val="3"/>
    <w:uiPriority w:val="99"/>
    <w:semiHidden/>
    <w:rsid w:val="004F39D0"/>
    <w:rPr>
      <w:rFonts w:ascii="Times New Roman" w:eastAsia="Times New Roman" w:hAnsi="Times New Roman" w:cs="Times New Roman"/>
      <w:sz w:val="16"/>
      <w:szCs w:val="16"/>
      <w:lang w:eastAsia="ru-RU"/>
    </w:rPr>
  </w:style>
  <w:style w:type="character" w:customStyle="1" w:styleId="10">
    <w:name w:val="Заголовок 1 Знак"/>
    <w:basedOn w:val="a0"/>
    <w:link w:val="1"/>
    <w:rsid w:val="007B1C0F"/>
    <w:rPr>
      <w:rFonts w:ascii="Arial" w:eastAsia="Times New Roman" w:hAnsi="Arial" w:cs="Arial"/>
      <w:b/>
      <w:bCs/>
      <w:kern w:val="32"/>
      <w:sz w:val="32"/>
      <w:szCs w:val="32"/>
      <w:lang w:eastAsia="ru-RU"/>
    </w:rPr>
  </w:style>
  <w:style w:type="character" w:customStyle="1" w:styleId="6">
    <w:name w:val="Основной текст (6)_"/>
    <w:link w:val="60"/>
    <w:rsid w:val="00931EBF"/>
    <w:rPr>
      <w:rFonts w:ascii="Arial" w:eastAsia="Arial" w:hAnsi="Arial" w:cs="Arial"/>
      <w:sz w:val="19"/>
      <w:szCs w:val="19"/>
      <w:shd w:val="clear" w:color="auto" w:fill="FFFFFF"/>
    </w:rPr>
  </w:style>
  <w:style w:type="paragraph" w:customStyle="1" w:styleId="60">
    <w:name w:val="Основной текст (6)"/>
    <w:basedOn w:val="a"/>
    <w:link w:val="6"/>
    <w:rsid w:val="00931EBF"/>
    <w:pPr>
      <w:widowControl w:val="0"/>
      <w:shd w:val="clear" w:color="auto" w:fill="FFFFFF"/>
      <w:spacing w:before="240" w:line="226" w:lineRule="exact"/>
      <w:jc w:val="both"/>
    </w:pPr>
    <w:rPr>
      <w:rFonts w:ascii="Arial" w:eastAsia="Arial" w:hAnsi="Arial" w:cs="Arial"/>
      <w:sz w:val="19"/>
      <w:szCs w:val="19"/>
      <w:lang w:eastAsia="en-US"/>
    </w:rPr>
  </w:style>
  <w:style w:type="paragraph" w:styleId="a7">
    <w:name w:val="header"/>
    <w:basedOn w:val="a"/>
    <w:link w:val="a8"/>
    <w:uiPriority w:val="99"/>
    <w:unhideWhenUsed/>
    <w:rsid w:val="007E552B"/>
    <w:pPr>
      <w:tabs>
        <w:tab w:val="center" w:pos="4677"/>
        <w:tab w:val="right" w:pos="9355"/>
      </w:tabs>
    </w:pPr>
  </w:style>
  <w:style w:type="character" w:customStyle="1" w:styleId="a8">
    <w:name w:val="Верхний колонтитул Знак"/>
    <w:basedOn w:val="a0"/>
    <w:link w:val="a7"/>
    <w:uiPriority w:val="99"/>
    <w:rsid w:val="007E552B"/>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7E552B"/>
    <w:pPr>
      <w:tabs>
        <w:tab w:val="center" w:pos="4677"/>
        <w:tab w:val="right" w:pos="9355"/>
      </w:tabs>
    </w:pPr>
  </w:style>
  <w:style w:type="character" w:customStyle="1" w:styleId="aa">
    <w:name w:val="Нижний колонтитул Знак"/>
    <w:basedOn w:val="a0"/>
    <w:link w:val="a9"/>
    <w:uiPriority w:val="99"/>
    <w:rsid w:val="007E552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586480">
      <w:bodyDiv w:val="1"/>
      <w:marLeft w:val="0"/>
      <w:marRight w:val="0"/>
      <w:marTop w:val="0"/>
      <w:marBottom w:val="0"/>
      <w:divBdr>
        <w:top w:val="none" w:sz="0" w:space="0" w:color="auto"/>
        <w:left w:val="none" w:sz="0" w:space="0" w:color="auto"/>
        <w:bottom w:val="none" w:sz="0" w:space="0" w:color="auto"/>
        <w:right w:val="none" w:sz="0" w:space="0" w:color="auto"/>
      </w:divBdr>
    </w:div>
    <w:div w:id="516041594">
      <w:bodyDiv w:val="1"/>
      <w:marLeft w:val="0"/>
      <w:marRight w:val="0"/>
      <w:marTop w:val="0"/>
      <w:marBottom w:val="0"/>
      <w:divBdr>
        <w:top w:val="none" w:sz="0" w:space="0" w:color="auto"/>
        <w:left w:val="none" w:sz="0" w:space="0" w:color="auto"/>
        <w:bottom w:val="none" w:sz="0" w:space="0" w:color="auto"/>
        <w:right w:val="none" w:sz="0" w:space="0" w:color="auto"/>
      </w:divBdr>
    </w:div>
    <w:div w:id="135877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2E002C-52C6-4781-9059-22487E3E0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6</Pages>
  <Words>1230</Words>
  <Characters>7017</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Анна Шинкарёва</cp:lastModifiedBy>
  <cp:revision>107</cp:revision>
  <cp:lastPrinted>2019-07-03T12:46:00Z</cp:lastPrinted>
  <dcterms:created xsi:type="dcterms:W3CDTF">2019-09-19T06:18:00Z</dcterms:created>
  <dcterms:modified xsi:type="dcterms:W3CDTF">2021-05-19T05:43:00Z</dcterms:modified>
</cp:coreProperties>
</file>